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ascii="Times New Roman" w:hAnsi="Times New Roman" w:eastAsia="黑体" w:cs="Times New Roman"/>
          <w:sz w:val="48"/>
          <w:szCs w:val="52"/>
          <w:lang w:val="en-US" w:eastAsia="zh-CN"/>
        </w:rPr>
      </w:pPr>
      <w:bookmarkStart w:id="0" w:name="_Toc12732"/>
    </w:p>
    <w:p>
      <w:pPr>
        <w:bidi w:val="0"/>
        <w:jc w:val="center"/>
        <w:rPr>
          <w:rFonts w:hint="default" w:ascii="Times New Roman" w:hAnsi="Times New Roman" w:eastAsia="黑体" w:cs="Times New Roman"/>
          <w:sz w:val="48"/>
          <w:szCs w:val="52"/>
          <w:lang w:val="en-US" w:eastAsia="zh-CN"/>
        </w:rPr>
      </w:pPr>
    </w:p>
    <w:p>
      <w:pPr>
        <w:bidi w:val="0"/>
        <w:jc w:val="center"/>
        <w:rPr>
          <w:rFonts w:hint="default" w:ascii="Times New Roman" w:hAnsi="Times New Roman" w:eastAsia="黑体" w:cs="Times New Roman"/>
          <w:sz w:val="48"/>
          <w:szCs w:val="52"/>
          <w:lang w:val="en-US" w:eastAsia="zh-CN"/>
        </w:rPr>
      </w:pPr>
      <w:r>
        <w:rPr>
          <w:rFonts w:hint="default" w:ascii="Times New Roman" w:hAnsi="Times New Roman" w:eastAsia="黑体" w:cs="Times New Roman"/>
          <w:sz w:val="48"/>
          <w:szCs w:val="52"/>
          <w:lang w:val="en-US" w:eastAsia="zh-CN"/>
        </w:rPr>
        <w:t>衡阳市建衡实业有限公司</w:t>
      </w:r>
      <w:bookmarkEnd w:id="0"/>
    </w:p>
    <w:p>
      <w:pPr>
        <w:bidi w:val="0"/>
        <w:jc w:val="center"/>
        <w:rPr>
          <w:rFonts w:hint="default" w:ascii="Times New Roman" w:hAnsi="Times New Roman" w:eastAsia="黑体" w:cs="Times New Roman"/>
          <w:sz w:val="52"/>
          <w:szCs w:val="56"/>
        </w:rPr>
      </w:pPr>
      <w:bookmarkStart w:id="1" w:name="_Toc28678"/>
      <w:r>
        <w:rPr>
          <w:rFonts w:hint="default" w:ascii="Times New Roman" w:hAnsi="Times New Roman" w:eastAsia="黑体" w:cs="Times New Roman"/>
          <w:sz w:val="52"/>
          <w:szCs w:val="56"/>
          <w:lang w:val="en-US" w:eastAsia="zh-CN"/>
        </w:rPr>
        <w:t>202</w:t>
      </w:r>
      <w:r>
        <w:rPr>
          <w:rFonts w:hint="eastAsia" w:ascii="Times New Roman" w:hAnsi="Times New Roman" w:eastAsia="黑体" w:cs="Times New Roman"/>
          <w:sz w:val="52"/>
          <w:szCs w:val="56"/>
          <w:lang w:val="en-US" w:eastAsia="zh-CN"/>
        </w:rPr>
        <w:t>2</w:t>
      </w:r>
      <w:r>
        <w:rPr>
          <w:rFonts w:hint="default" w:ascii="Times New Roman" w:hAnsi="Times New Roman" w:eastAsia="黑体" w:cs="Times New Roman"/>
          <w:sz w:val="52"/>
          <w:szCs w:val="56"/>
        </w:rPr>
        <w:t>年度</w:t>
      </w:r>
      <w:r>
        <w:rPr>
          <w:rFonts w:hint="default" w:ascii="Times New Roman" w:hAnsi="Times New Roman" w:eastAsia="黑体" w:cs="Times New Roman"/>
          <w:sz w:val="52"/>
          <w:szCs w:val="56"/>
          <w:lang w:val="en-US" w:eastAsia="zh-CN"/>
        </w:rPr>
        <w:t>企业</w:t>
      </w:r>
      <w:r>
        <w:rPr>
          <w:rFonts w:hint="default" w:ascii="Times New Roman" w:hAnsi="Times New Roman" w:eastAsia="黑体" w:cs="Times New Roman"/>
          <w:sz w:val="52"/>
          <w:szCs w:val="56"/>
        </w:rPr>
        <w:t>社会责任报告</w:t>
      </w:r>
      <w:bookmarkEnd w:id="1"/>
    </w:p>
    <w:p>
      <w:pPr>
        <w:bidi w:val="0"/>
        <w:rPr>
          <w:rFonts w:hint="default" w:ascii="Times New Roman" w:hAnsi="Times New Roman" w:cs="Times New Roman"/>
          <w:sz w:val="36"/>
          <w:szCs w:val="36"/>
        </w:rPr>
      </w:pPr>
    </w:p>
    <w:p>
      <w:pPr>
        <w:bidi w:val="0"/>
        <w:rPr>
          <w:rFonts w:hint="default" w:ascii="Times New Roman" w:hAnsi="Times New Roman" w:cs="Times New Roman"/>
          <w:sz w:val="36"/>
          <w:szCs w:val="36"/>
        </w:rPr>
      </w:pPr>
    </w:p>
    <w:p>
      <w:pPr>
        <w:bidi w:val="0"/>
        <w:jc w:val="center"/>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drawing>
          <wp:inline distT="0" distB="0" distL="114300" distR="114300">
            <wp:extent cx="5266690" cy="3511550"/>
            <wp:effectExtent l="0" t="0" r="10160" b="12700"/>
            <wp:docPr id="1" name="图片 1" descr="综合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综合楼"/>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pPr>
        <w:bidi w:val="0"/>
        <w:jc w:val="center"/>
        <w:rPr>
          <w:rFonts w:hint="default" w:ascii="Times New Roman" w:hAnsi="Times New Roman" w:eastAsia="黑体" w:cs="Times New Roman"/>
          <w:sz w:val="36"/>
          <w:szCs w:val="36"/>
          <w:lang w:val="en-US" w:eastAsia="zh-CN"/>
        </w:rPr>
      </w:pPr>
    </w:p>
    <w:p>
      <w:pPr>
        <w:bidi w:val="0"/>
        <w:jc w:val="center"/>
        <w:rPr>
          <w:rFonts w:hint="default" w:ascii="Times New Roman" w:hAnsi="Times New Roman" w:eastAsia="黑体" w:cs="Times New Roman"/>
          <w:sz w:val="36"/>
          <w:szCs w:val="36"/>
          <w:lang w:val="en-US" w:eastAsia="zh-CN"/>
        </w:rPr>
      </w:pPr>
    </w:p>
    <w:p>
      <w:pPr>
        <w:bidi w:val="0"/>
        <w:jc w:val="center"/>
        <w:rPr>
          <w:rFonts w:hint="default" w:ascii="Times New Roman" w:hAnsi="Times New Roman" w:eastAsia="黑体" w:cs="Times New Roman"/>
          <w:sz w:val="36"/>
          <w:szCs w:val="36"/>
          <w:lang w:val="en-US" w:eastAsia="zh-CN"/>
        </w:rPr>
      </w:pPr>
      <w:r>
        <w:rPr>
          <w:rFonts w:hint="default" w:ascii="Times New Roman" w:hAnsi="Times New Roman" w:eastAsia="黑体" w:cs="Times New Roman"/>
          <w:color w:val="auto"/>
          <w:sz w:val="36"/>
          <w:szCs w:val="36"/>
          <w:lang w:val="en-US" w:eastAsia="zh-CN"/>
        </w:rPr>
        <w:t>202</w:t>
      </w:r>
      <w:r>
        <w:rPr>
          <w:rFonts w:hint="eastAsia" w:ascii="Times New Roman" w:hAnsi="Times New Roman" w:eastAsia="黑体" w:cs="Times New Roman"/>
          <w:color w:val="auto"/>
          <w:sz w:val="36"/>
          <w:szCs w:val="36"/>
          <w:lang w:val="en-US" w:eastAsia="zh-CN"/>
        </w:rPr>
        <w:t>3</w:t>
      </w:r>
      <w:r>
        <w:rPr>
          <w:rFonts w:hint="default" w:ascii="Times New Roman" w:hAnsi="Times New Roman" w:eastAsia="黑体" w:cs="Times New Roman"/>
          <w:color w:val="auto"/>
          <w:sz w:val="36"/>
          <w:szCs w:val="36"/>
          <w:lang w:val="en-US" w:eastAsia="zh-CN"/>
        </w:rPr>
        <w:t>年</w:t>
      </w:r>
      <w:r>
        <w:rPr>
          <w:rFonts w:hint="eastAsia" w:ascii="Times New Roman" w:hAnsi="Times New Roman" w:eastAsia="黑体" w:cs="Times New Roman"/>
          <w:color w:val="auto"/>
          <w:sz w:val="36"/>
          <w:szCs w:val="36"/>
          <w:lang w:val="en-US" w:eastAsia="zh-CN"/>
        </w:rPr>
        <w:t>8</w:t>
      </w:r>
      <w:r>
        <w:rPr>
          <w:rFonts w:hint="default" w:ascii="Times New Roman" w:hAnsi="Times New Roman" w:eastAsia="黑体" w:cs="Times New Roman"/>
          <w:color w:val="auto"/>
          <w:sz w:val="36"/>
          <w:szCs w:val="36"/>
          <w:lang w:val="en-US" w:eastAsia="zh-CN"/>
        </w:rPr>
        <w:t>月</w:t>
      </w:r>
      <w:r>
        <w:rPr>
          <w:rFonts w:hint="eastAsia" w:ascii="Times New Roman" w:hAnsi="Times New Roman" w:eastAsia="黑体" w:cs="Times New Roman"/>
          <w:color w:val="auto"/>
          <w:sz w:val="36"/>
          <w:szCs w:val="36"/>
          <w:lang w:val="en-US" w:eastAsia="zh-CN"/>
        </w:rPr>
        <w:t>30</w:t>
      </w:r>
      <w:r>
        <w:rPr>
          <w:rFonts w:hint="default" w:ascii="Times New Roman" w:hAnsi="Times New Roman" w:eastAsia="黑体" w:cs="Times New Roman"/>
          <w:color w:val="auto"/>
          <w:sz w:val="36"/>
          <w:szCs w:val="36"/>
          <w:lang w:val="en-US" w:eastAsia="zh-CN"/>
        </w:rPr>
        <w:t>日</w:t>
      </w:r>
    </w:p>
    <w:p>
      <w:pPr>
        <w:bidi w:val="0"/>
        <w:rPr>
          <w:rFonts w:hint="default" w:ascii="Times New Roman" w:hAnsi="Times New Roman" w:cs="Times New Roman"/>
          <w:sz w:val="32"/>
          <w:szCs w:val="32"/>
        </w:rPr>
      </w:pPr>
    </w:p>
    <w:p>
      <w:pPr>
        <w:bidi w:val="0"/>
        <w:jc w:val="center"/>
        <w:rPr>
          <w:rFonts w:hint="default" w:ascii="Times New Roman" w:hAnsi="Times New Roman" w:eastAsia="黑体" w:cs="Times New Roman"/>
          <w:b/>
          <w:bCs/>
          <w:sz w:val="32"/>
          <w:szCs w:val="32"/>
          <w:lang w:val="en-US" w:eastAsia="zh-CN"/>
        </w:rPr>
        <w:sectPr>
          <w:pgSz w:w="11906" w:h="16838"/>
          <w:pgMar w:top="1440" w:right="1800" w:bottom="1440" w:left="1800" w:header="851" w:footer="992" w:gutter="0"/>
          <w:cols w:space="425" w:num="1"/>
          <w:docGrid w:type="lines" w:linePitch="312" w:charSpace="0"/>
        </w:sectPr>
      </w:pPr>
    </w:p>
    <w:p>
      <w:pPr>
        <w:bidi w:val="0"/>
        <w:jc w:val="center"/>
        <w:rPr>
          <w:rFonts w:hint="default" w:ascii="Times New Roman" w:hAnsi="Times New Roman" w:eastAsia="黑体" w:cs="Times New Roman"/>
          <w:b/>
          <w:bCs/>
          <w:sz w:val="36"/>
          <w:szCs w:val="40"/>
          <w:lang w:val="en-US" w:eastAsia="zh-CN"/>
        </w:rPr>
      </w:pPr>
      <w:r>
        <w:rPr>
          <w:rFonts w:hint="default" w:ascii="Times New Roman" w:hAnsi="Times New Roman" w:eastAsia="黑体" w:cs="Times New Roman"/>
          <w:b/>
          <w:bCs/>
          <w:sz w:val="36"/>
          <w:szCs w:val="40"/>
          <w:lang w:val="en-US" w:eastAsia="zh-CN"/>
        </w:rPr>
        <w:t>目 录</w:t>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"1-3" \h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_Toc3101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val="en-US" w:eastAsia="zh-CN"/>
        </w:rPr>
        <w:t>报告规范</w:t>
      </w:r>
      <w:r>
        <w:rPr>
          <w:sz w:val="28"/>
          <w:szCs w:val="28"/>
        </w:rPr>
        <w:tab/>
      </w:r>
      <w:r>
        <w:rPr>
          <w:sz w:val="28"/>
          <w:szCs w:val="28"/>
        </w:rPr>
        <w:fldChar w:fldCharType="begin"/>
      </w:r>
      <w:r>
        <w:rPr>
          <w:sz w:val="28"/>
          <w:szCs w:val="28"/>
        </w:rPr>
        <w:instrText xml:space="preserve"> PAGEREF _Toc3101 \h </w:instrText>
      </w:r>
      <w:r>
        <w:rPr>
          <w:sz w:val="28"/>
          <w:szCs w:val="28"/>
        </w:rPr>
        <w:fldChar w:fldCharType="separate"/>
      </w:r>
      <w:r>
        <w:rPr>
          <w:sz w:val="28"/>
          <w:szCs w:val="28"/>
        </w:rPr>
        <w:t>1</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_Toc4768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一、关于我们</w:t>
      </w:r>
      <w:r>
        <w:rPr>
          <w:sz w:val="28"/>
          <w:szCs w:val="28"/>
        </w:rPr>
        <w:tab/>
      </w:r>
      <w:r>
        <w:rPr>
          <w:sz w:val="28"/>
          <w:szCs w:val="28"/>
        </w:rPr>
        <w:fldChar w:fldCharType="begin"/>
      </w:r>
      <w:r>
        <w:rPr>
          <w:sz w:val="28"/>
          <w:szCs w:val="28"/>
        </w:rPr>
        <w:instrText xml:space="preserve"> PAGEREF _Toc4768 \h </w:instrText>
      </w:r>
      <w:r>
        <w:rPr>
          <w:sz w:val="28"/>
          <w:szCs w:val="28"/>
        </w:rPr>
        <w:fldChar w:fldCharType="separate"/>
      </w:r>
      <w:r>
        <w:rPr>
          <w:sz w:val="28"/>
          <w:szCs w:val="28"/>
        </w:rPr>
        <w:t>2</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_Toc20717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二</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公司治理</w:t>
      </w:r>
      <w:r>
        <w:rPr>
          <w:sz w:val="28"/>
          <w:szCs w:val="28"/>
        </w:rPr>
        <w:tab/>
      </w:r>
      <w:r>
        <w:rPr>
          <w:sz w:val="28"/>
          <w:szCs w:val="28"/>
        </w:rPr>
        <w:fldChar w:fldCharType="begin"/>
      </w:r>
      <w:r>
        <w:rPr>
          <w:sz w:val="28"/>
          <w:szCs w:val="28"/>
        </w:rPr>
        <w:instrText xml:space="preserve"> PAGEREF _Toc20717 \h </w:instrText>
      </w:r>
      <w:r>
        <w:rPr>
          <w:sz w:val="28"/>
          <w:szCs w:val="28"/>
        </w:rPr>
        <w:fldChar w:fldCharType="separate"/>
      </w:r>
      <w:r>
        <w:rPr>
          <w:sz w:val="28"/>
          <w:szCs w:val="28"/>
        </w:rPr>
        <w:t>6</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_Toc4088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三、责任管理</w:t>
      </w:r>
      <w:r>
        <w:rPr>
          <w:sz w:val="28"/>
          <w:szCs w:val="28"/>
        </w:rPr>
        <w:tab/>
      </w:r>
      <w:r>
        <w:rPr>
          <w:sz w:val="28"/>
          <w:szCs w:val="28"/>
        </w:rPr>
        <w:fldChar w:fldCharType="begin"/>
      </w:r>
      <w:r>
        <w:rPr>
          <w:sz w:val="28"/>
          <w:szCs w:val="28"/>
        </w:rPr>
        <w:instrText xml:space="preserve"> PAGEREF _Toc4088 \h </w:instrText>
      </w:r>
      <w:r>
        <w:rPr>
          <w:sz w:val="28"/>
          <w:szCs w:val="28"/>
        </w:rPr>
        <w:fldChar w:fldCharType="separate"/>
      </w:r>
      <w:r>
        <w:rPr>
          <w:sz w:val="28"/>
          <w:szCs w:val="28"/>
        </w:rPr>
        <w:t>8</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_Toc22197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四、市场责任</w:t>
      </w:r>
      <w:r>
        <w:rPr>
          <w:sz w:val="28"/>
          <w:szCs w:val="28"/>
        </w:rPr>
        <w:tab/>
      </w:r>
      <w:r>
        <w:rPr>
          <w:sz w:val="28"/>
          <w:szCs w:val="28"/>
        </w:rPr>
        <w:fldChar w:fldCharType="begin"/>
      </w:r>
      <w:r>
        <w:rPr>
          <w:sz w:val="28"/>
          <w:szCs w:val="28"/>
        </w:rPr>
        <w:instrText xml:space="preserve"> PAGEREF _Toc22197 \h </w:instrText>
      </w:r>
      <w:r>
        <w:rPr>
          <w:sz w:val="28"/>
          <w:szCs w:val="28"/>
        </w:rPr>
        <w:fldChar w:fldCharType="separate"/>
      </w:r>
      <w:r>
        <w:rPr>
          <w:sz w:val="28"/>
          <w:szCs w:val="28"/>
        </w:rPr>
        <w:t>9</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_Toc25044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五、环境责任</w:t>
      </w:r>
      <w:r>
        <w:rPr>
          <w:sz w:val="28"/>
          <w:szCs w:val="28"/>
        </w:rPr>
        <w:tab/>
      </w:r>
      <w:r>
        <w:rPr>
          <w:sz w:val="28"/>
          <w:szCs w:val="28"/>
        </w:rPr>
        <w:fldChar w:fldCharType="begin"/>
      </w:r>
      <w:r>
        <w:rPr>
          <w:sz w:val="28"/>
          <w:szCs w:val="28"/>
        </w:rPr>
        <w:instrText xml:space="preserve"> PAGEREF _Toc25044 \h </w:instrText>
      </w:r>
      <w:r>
        <w:rPr>
          <w:sz w:val="28"/>
          <w:szCs w:val="28"/>
        </w:rPr>
        <w:fldChar w:fldCharType="separate"/>
      </w:r>
      <w:r>
        <w:rPr>
          <w:sz w:val="28"/>
          <w:szCs w:val="28"/>
        </w:rPr>
        <w:t>11</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_Toc8612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六、社会责任</w:t>
      </w:r>
      <w:r>
        <w:rPr>
          <w:sz w:val="28"/>
          <w:szCs w:val="28"/>
        </w:rPr>
        <w:tab/>
      </w:r>
      <w:r>
        <w:rPr>
          <w:sz w:val="28"/>
          <w:szCs w:val="28"/>
        </w:rPr>
        <w:fldChar w:fldCharType="begin"/>
      </w:r>
      <w:r>
        <w:rPr>
          <w:sz w:val="28"/>
          <w:szCs w:val="28"/>
        </w:rPr>
        <w:instrText xml:space="preserve"> PAGEREF _Toc8612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sz w:val="28"/>
          <w:szCs w:val="28"/>
        </w:rPr>
        <w:fldChar w:fldCharType="end"/>
      </w:r>
    </w:p>
    <w:p>
      <w:pPr>
        <w:pStyle w:val="7"/>
        <w:tabs>
          <w:tab w:val="right" w:leader="dot" w:pos="8306"/>
        </w:tabs>
        <w:spacing w:line="360" w:lineRule="auto"/>
        <w:rPr>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_Toc283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zh-CN"/>
        </w:rPr>
        <w:t>七</w:t>
      </w:r>
      <w:r>
        <w:rPr>
          <w:rFonts w:hint="default" w:ascii="Times New Roman" w:hAnsi="Times New Roman" w:cs="Times New Roman"/>
          <w:sz w:val="28"/>
          <w:szCs w:val="28"/>
        </w:rPr>
        <w:t>、展望未来</w:t>
      </w:r>
      <w:r>
        <w:rPr>
          <w:sz w:val="28"/>
          <w:szCs w:val="28"/>
        </w:rPr>
        <w:tab/>
      </w:r>
      <w:r>
        <w:rPr>
          <w:sz w:val="28"/>
          <w:szCs w:val="28"/>
        </w:rPr>
        <w:fldChar w:fldCharType="begin"/>
      </w:r>
      <w:r>
        <w:rPr>
          <w:sz w:val="28"/>
          <w:szCs w:val="28"/>
        </w:rPr>
        <w:instrText xml:space="preserve"> PAGEREF _Toc283 \h </w:instrText>
      </w:r>
      <w:r>
        <w:rPr>
          <w:sz w:val="28"/>
          <w:szCs w:val="28"/>
        </w:rPr>
        <w:fldChar w:fldCharType="separate"/>
      </w:r>
      <w:r>
        <w:rPr>
          <w:sz w:val="28"/>
          <w:szCs w:val="28"/>
        </w:rPr>
        <w:t>21</w:t>
      </w:r>
      <w:r>
        <w:rPr>
          <w:sz w:val="28"/>
          <w:szCs w:val="28"/>
        </w:rPr>
        <w:fldChar w:fldCharType="end"/>
      </w:r>
      <w:r>
        <w:rPr>
          <w:rFonts w:hint="default" w:ascii="Times New Roman" w:hAnsi="Times New Roman" w:cs="Times New Roman"/>
          <w:sz w:val="28"/>
          <w:szCs w:val="28"/>
        </w:rPr>
        <w:fldChar w:fldCharType="end"/>
      </w:r>
    </w:p>
    <w:p>
      <w:pPr>
        <w:bidi w:val="0"/>
        <w:spacing w:line="360" w:lineRule="auto"/>
        <w:rPr>
          <w:rFonts w:hint="default" w:ascii="Times New Roman" w:hAnsi="Times New Roman" w:cs="Times New Roman"/>
          <w:sz w:val="28"/>
          <w:szCs w:val="28"/>
        </w:rPr>
      </w:pPr>
      <w:r>
        <w:rPr>
          <w:rFonts w:hint="default" w:ascii="Times New Roman" w:hAnsi="Times New Roman" w:cs="Times New Roman"/>
          <w:sz w:val="28"/>
          <w:szCs w:val="28"/>
        </w:rPr>
        <w:fldChar w:fldCharType="end"/>
      </w:r>
    </w:p>
    <w:p>
      <w:pPr>
        <w:pStyle w:val="3"/>
        <w:bidi w:val="0"/>
        <w:spacing w:line="360" w:lineRule="auto"/>
        <w:rPr>
          <w:rFonts w:hint="default" w:ascii="Times New Roman" w:hAnsi="Times New Roman" w:eastAsia="宋体" w:cs="Times New Roman"/>
          <w:color w:val="auto"/>
          <w:sz w:val="28"/>
          <w:szCs w:val="28"/>
          <w:lang w:val="en-US" w:eastAsia="zh-CN"/>
        </w:rPr>
        <w:sectPr>
          <w:pgSz w:w="11906" w:h="16838"/>
          <w:pgMar w:top="1440" w:right="1800" w:bottom="1440" w:left="1800" w:header="851" w:footer="992" w:gutter="0"/>
          <w:cols w:space="425" w:num="1"/>
          <w:docGrid w:type="lines" w:linePitch="312" w:charSpace="0"/>
        </w:sectPr>
      </w:pPr>
    </w:p>
    <w:p>
      <w:pPr>
        <w:pStyle w:val="3"/>
        <w:bidi w:val="0"/>
        <w:rPr>
          <w:rFonts w:hint="default" w:ascii="Times New Roman" w:hAnsi="Times New Roman" w:eastAsia="宋体" w:cs="Times New Roman"/>
          <w:color w:val="auto"/>
          <w:sz w:val="32"/>
          <w:szCs w:val="18"/>
          <w:lang w:val="en-US" w:eastAsia="zh-CN"/>
        </w:rPr>
      </w:pPr>
      <w:bookmarkStart w:id="2" w:name="_Toc3101"/>
      <w:r>
        <w:rPr>
          <w:rFonts w:hint="default" w:ascii="Times New Roman" w:hAnsi="Times New Roman" w:eastAsia="宋体" w:cs="Times New Roman"/>
          <w:color w:val="auto"/>
          <w:sz w:val="32"/>
          <w:szCs w:val="18"/>
          <w:lang w:val="en-US" w:eastAsia="zh-CN"/>
        </w:rPr>
        <w:t>报告规范</w:t>
      </w:r>
      <w:bookmarkEnd w:id="2"/>
    </w:p>
    <w:p>
      <w:pPr>
        <w:bidi w:val="0"/>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 重要提示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本公司董事会、监事会及董事、监事、高级管理人员保证本报告内容的真实、准确、完整，不存在虚假记载、误导性陈述或重大遗漏，并承担个别和连带的法律责任。</w:t>
      </w:r>
    </w:p>
    <w:p>
      <w:pPr>
        <w:bidi w:val="0"/>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b/>
          <w:bCs/>
          <w:color w:val="auto"/>
          <w:sz w:val="28"/>
          <w:szCs w:val="28"/>
          <w:lang w:val="en-US" w:eastAsia="zh-CN"/>
        </w:rPr>
        <w:t>■ 报告时间范围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本报告为年度报告，时间范围是</w:t>
      </w:r>
      <w:r>
        <w:rPr>
          <w:rFonts w:hint="default" w:ascii="Times New Roman" w:hAnsi="Times New Roman" w:cs="Times New Roman"/>
          <w:color w:val="auto"/>
          <w:sz w:val="28"/>
          <w:szCs w:val="28"/>
          <w:lang w:val="en-US" w:eastAsia="zh-CN"/>
        </w:rPr>
        <w:t>202</w:t>
      </w:r>
      <w:r>
        <w:rPr>
          <w:rFonts w:hint="eastAsia" w:ascii="Times New Roman" w:hAnsi="Times New Roman" w:cs="Times New Roman"/>
          <w:color w:val="auto"/>
          <w:sz w:val="28"/>
          <w:szCs w:val="28"/>
          <w:lang w:val="en-US" w:eastAsia="zh-CN"/>
        </w:rPr>
        <w:t>2</w:t>
      </w:r>
      <w:r>
        <w:rPr>
          <w:rFonts w:hint="default" w:ascii="Times New Roman" w:hAnsi="Times New Roman" w:cs="Times New Roman" w:eastAsiaTheme="minorEastAsia"/>
          <w:color w:val="auto"/>
          <w:sz w:val="28"/>
          <w:szCs w:val="28"/>
          <w:lang w:val="en-US" w:eastAsia="zh-CN"/>
        </w:rPr>
        <w:t>年</w:t>
      </w:r>
      <w:r>
        <w:rPr>
          <w:rFonts w:hint="default" w:ascii="Times New Roman" w:hAnsi="Times New Roman" w:cs="Times New Roman"/>
          <w:color w:val="auto"/>
          <w:sz w:val="28"/>
          <w:szCs w:val="28"/>
          <w:lang w:val="en-US" w:eastAsia="zh-CN"/>
        </w:rPr>
        <w:t>1</w:t>
      </w:r>
      <w:r>
        <w:rPr>
          <w:rFonts w:hint="default" w:ascii="Times New Roman" w:hAnsi="Times New Roman" w:cs="Times New Roman" w:eastAsiaTheme="minorEastAsia"/>
          <w:color w:val="auto"/>
          <w:sz w:val="28"/>
          <w:szCs w:val="28"/>
          <w:lang w:val="en-US" w:eastAsia="zh-CN"/>
        </w:rPr>
        <w:t>月</w:t>
      </w:r>
      <w:r>
        <w:rPr>
          <w:rFonts w:hint="default" w:ascii="Times New Roman" w:hAnsi="Times New Roman" w:cs="Times New Roman"/>
          <w:color w:val="auto"/>
          <w:sz w:val="28"/>
          <w:szCs w:val="28"/>
          <w:lang w:val="en-US" w:eastAsia="zh-CN"/>
        </w:rPr>
        <w:t>1</w:t>
      </w:r>
      <w:r>
        <w:rPr>
          <w:rFonts w:hint="default" w:ascii="Times New Roman" w:hAnsi="Times New Roman" w:cs="Times New Roman" w:eastAsiaTheme="minorEastAsia"/>
          <w:color w:val="auto"/>
          <w:sz w:val="28"/>
          <w:szCs w:val="28"/>
          <w:lang w:val="en-US" w:eastAsia="zh-CN"/>
        </w:rPr>
        <w:t>日至</w:t>
      </w:r>
      <w:r>
        <w:rPr>
          <w:rFonts w:hint="default" w:ascii="Times New Roman" w:hAnsi="Times New Roman" w:cs="Times New Roman"/>
          <w:color w:val="auto"/>
          <w:sz w:val="28"/>
          <w:szCs w:val="28"/>
          <w:lang w:val="en-US" w:eastAsia="zh-CN"/>
        </w:rPr>
        <w:t>202</w:t>
      </w:r>
      <w:r>
        <w:rPr>
          <w:rFonts w:hint="eastAsia" w:ascii="Times New Roman" w:hAnsi="Times New Roman" w:cs="Times New Roman"/>
          <w:color w:val="auto"/>
          <w:sz w:val="28"/>
          <w:szCs w:val="28"/>
          <w:lang w:val="en-US" w:eastAsia="zh-CN"/>
        </w:rPr>
        <w:t>2</w:t>
      </w:r>
      <w:r>
        <w:rPr>
          <w:rFonts w:hint="default" w:ascii="Times New Roman" w:hAnsi="Times New Roman" w:cs="Times New Roman" w:eastAsiaTheme="minorEastAsia"/>
          <w:color w:val="auto"/>
          <w:sz w:val="28"/>
          <w:szCs w:val="28"/>
          <w:lang w:val="en-US" w:eastAsia="zh-CN"/>
        </w:rPr>
        <w:t>年</w:t>
      </w:r>
      <w:r>
        <w:rPr>
          <w:rFonts w:hint="default" w:ascii="Times New Roman" w:hAnsi="Times New Roman" w:cs="Times New Roman"/>
          <w:color w:val="auto"/>
          <w:sz w:val="28"/>
          <w:szCs w:val="28"/>
          <w:lang w:val="en-US" w:eastAsia="zh-CN"/>
        </w:rPr>
        <w:t>12</w:t>
      </w:r>
      <w:r>
        <w:rPr>
          <w:rFonts w:hint="default" w:ascii="Times New Roman" w:hAnsi="Times New Roman" w:cs="Times New Roman" w:eastAsiaTheme="minorEastAsia"/>
          <w:color w:val="auto"/>
          <w:sz w:val="28"/>
          <w:szCs w:val="28"/>
          <w:lang w:val="en-US" w:eastAsia="zh-CN"/>
        </w:rPr>
        <w:t>月</w:t>
      </w:r>
      <w:r>
        <w:rPr>
          <w:rFonts w:hint="default" w:ascii="Times New Roman" w:hAnsi="Times New Roman" w:cs="Times New Roman"/>
          <w:color w:val="auto"/>
          <w:sz w:val="28"/>
          <w:szCs w:val="28"/>
          <w:lang w:val="en-US" w:eastAsia="zh-CN"/>
        </w:rPr>
        <w:t>31</w:t>
      </w:r>
      <w:r>
        <w:rPr>
          <w:rFonts w:hint="default" w:ascii="Times New Roman" w:hAnsi="Times New Roman" w:cs="Times New Roman" w:eastAsiaTheme="minorEastAsia"/>
          <w:color w:val="auto"/>
          <w:sz w:val="28"/>
          <w:szCs w:val="28"/>
          <w:lang w:val="en-US" w:eastAsia="zh-CN"/>
        </w:rPr>
        <w:t>日，为提高报告完整性，部分数据超出上述范围。</w:t>
      </w:r>
    </w:p>
    <w:p>
      <w:pPr>
        <w:bidi w:val="0"/>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b/>
          <w:bCs/>
          <w:color w:val="auto"/>
          <w:sz w:val="28"/>
          <w:szCs w:val="28"/>
          <w:lang w:val="en-US" w:eastAsia="zh-CN"/>
        </w:rPr>
        <w:t>■ 报告发布日期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eastAsia" w:ascii="Times New Roman" w:hAnsi="Times New Roman" w:cs="Times New Roman"/>
          <w:color w:val="auto"/>
          <w:sz w:val="28"/>
          <w:szCs w:val="28"/>
          <w:lang w:val="en-US" w:eastAsia="zh-CN"/>
        </w:rPr>
        <w:t>2023</w:t>
      </w:r>
      <w:r>
        <w:rPr>
          <w:rFonts w:hint="default" w:ascii="Times New Roman" w:hAnsi="Times New Roman" w:cs="Times New Roman" w:eastAsiaTheme="minorEastAsia"/>
          <w:color w:val="auto"/>
          <w:sz w:val="28"/>
          <w:szCs w:val="28"/>
          <w:lang w:val="en-US" w:eastAsia="zh-CN"/>
        </w:rPr>
        <w:t>年</w:t>
      </w:r>
      <w:r>
        <w:rPr>
          <w:rFonts w:hint="eastAsia" w:ascii="Times New Roman" w:hAnsi="Times New Roman" w:cs="Times New Roman"/>
          <w:color w:val="auto"/>
          <w:sz w:val="28"/>
          <w:szCs w:val="28"/>
          <w:lang w:val="en-US" w:eastAsia="zh-CN"/>
        </w:rPr>
        <w:t>8</w:t>
      </w:r>
      <w:r>
        <w:rPr>
          <w:rFonts w:hint="default" w:ascii="Times New Roman" w:hAnsi="Times New Roman" w:cs="Times New Roman" w:eastAsiaTheme="minorEastAsia"/>
          <w:color w:val="auto"/>
          <w:sz w:val="28"/>
          <w:szCs w:val="28"/>
          <w:lang w:val="en-US" w:eastAsia="zh-CN"/>
        </w:rPr>
        <w:t>月</w:t>
      </w:r>
      <w:r>
        <w:rPr>
          <w:rFonts w:hint="eastAsia" w:ascii="Times New Roman" w:hAnsi="Times New Roman" w:cs="Times New Roman"/>
          <w:color w:val="auto"/>
          <w:sz w:val="28"/>
          <w:szCs w:val="28"/>
          <w:lang w:val="en-US" w:eastAsia="zh-CN"/>
        </w:rPr>
        <w:t>30</w:t>
      </w:r>
      <w:r>
        <w:rPr>
          <w:rFonts w:hint="default" w:ascii="Times New Roman" w:hAnsi="Times New Roman" w:cs="Times New Roman" w:eastAsiaTheme="minorEastAsia"/>
          <w:color w:val="auto"/>
          <w:sz w:val="28"/>
          <w:szCs w:val="28"/>
          <w:lang w:val="en-US" w:eastAsia="zh-CN"/>
        </w:rPr>
        <w:t>日</w:t>
      </w:r>
    </w:p>
    <w:p>
      <w:pPr>
        <w:bidi w:val="0"/>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b/>
          <w:bCs/>
          <w:color w:val="auto"/>
          <w:sz w:val="28"/>
          <w:szCs w:val="28"/>
          <w:lang w:val="en-US" w:eastAsia="zh-CN"/>
        </w:rPr>
        <w:t>■ 报告组织范围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秉承客观、规范、诚信、透明的原则，本报告详述了公司及下属公司</w:t>
      </w:r>
      <w:r>
        <w:rPr>
          <w:rFonts w:hint="default" w:ascii="Times New Roman" w:hAnsi="Times New Roman" w:cs="Times New Roman"/>
          <w:color w:val="auto"/>
          <w:sz w:val="28"/>
          <w:szCs w:val="28"/>
          <w:lang w:val="en-US" w:eastAsia="zh-CN"/>
        </w:rPr>
        <w:t>202</w:t>
      </w:r>
      <w:r>
        <w:rPr>
          <w:rFonts w:hint="eastAsia" w:ascii="Times New Roman" w:hAnsi="Times New Roman" w:cs="Times New Roman"/>
          <w:color w:val="auto"/>
          <w:sz w:val="28"/>
          <w:szCs w:val="28"/>
          <w:lang w:val="en-US" w:eastAsia="zh-CN"/>
        </w:rPr>
        <w:t>2</w:t>
      </w:r>
      <w:r>
        <w:rPr>
          <w:rFonts w:hint="default" w:ascii="Times New Roman" w:hAnsi="Times New Roman" w:cs="Times New Roman" w:eastAsiaTheme="minorEastAsia"/>
          <w:color w:val="auto"/>
          <w:sz w:val="28"/>
          <w:szCs w:val="28"/>
          <w:lang w:val="en-US" w:eastAsia="zh-CN"/>
        </w:rPr>
        <w:t>年度社会责任的履行情况。为便于表述及方便您的阅读，本报告采用“</w:t>
      </w:r>
      <w:r>
        <w:rPr>
          <w:rFonts w:hint="eastAsia" w:ascii="Times New Roman" w:hAnsi="Times New Roman" w:cs="Times New Roman"/>
          <w:color w:val="auto"/>
          <w:sz w:val="28"/>
          <w:szCs w:val="28"/>
          <w:lang w:val="en-US" w:eastAsia="zh-CN"/>
        </w:rPr>
        <w:t>建衡</w:t>
      </w:r>
      <w:r>
        <w:rPr>
          <w:rFonts w:hint="default" w:ascii="Times New Roman" w:hAnsi="Times New Roman" w:cs="Times New Roman" w:eastAsiaTheme="minorEastAsia"/>
          <w:color w:val="auto"/>
          <w:sz w:val="28"/>
          <w:szCs w:val="28"/>
          <w:lang w:val="en-US" w:eastAsia="zh-CN"/>
        </w:rPr>
        <w:t>”</w:t>
      </w:r>
      <w:r>
        <w:rPr>
          <w:rFonts w:hint="default" w:ascii="Times New Roman" w:hAnsi="Times New Roman" w:cs="Times New Roman"/>
          <w:color w:val="auto"/>
          <w:sz w:val="28"/>
          <w:szCs w:val="28"/>
          <w:lang w:val="en-US" w:eastAsia="zh-CN"/>
        </w:rPr>
        <w:t>、</w:t>
      </w:r>
      <w:r>
        <w:rPr>
          <w:rFonts w:hint="default" w:ascii="Times New Roman" w:hAnsi="Times New Roman" w:cs="Times New Roman" w:eastAsiaTheme="minorEastAsia"/>
          <w:color w:val="auto"/>
          <w:sz w:val="28"/>
          <w:szCs w:val="28"/>
          <w:lang w:val="en-US" w:eastAsia="zh-CN"/>
        </w:rPr>
        <w:t>“公司”、“我们”指代衡阳市建衡实业有限公司。</w:t>
      </w:r>
    </w:p>
    <w:p>
      <w:pPr>
        <w:bidi w:val="0"/>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b/>
          <w:bCs/>
          <w:color w:val="auto"/>
          <w:sz w:val="28"/>
          <w:szCs w:val="28"/>
          <w:lang w:val="en-US" w:eastAsia="zh-CN"/>
        </w:rPr>
        <w:t>■ 报告编制依据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全球报告倡议组织（GRI)《可持续发展报告编写指南(G4）》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中国社科院《中国企业社会责任报告编制指南(CASS-CSR4.0）》</w:t>
      </w:r>
    </w:p>
    <w:p>
      <w:pPr>
        <w:bidi w:val="0"/>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b/>
          <w:bCs/>
          <w:color w:val="auto"/>
          <w:sz w:val="28"/>
          <w:szCs w:val="28"/>
          <w:lang w:val="en-US" w:eastAsia="zh-CN"/>
        </w:rPr>
        <w:t>■ 报告数据说明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报告所使用的数据和案例均来自</w:t>
      </w:r>
      <w:r>
        <w:rPr>
          <w:rFonts w:hint="default" w:ascii="Times New Roman" w:hAnsi="Times New Roman" w:cs="Times New Roman"/>
          <w:color w:val="auto"/>
          <w:sz w:val="28"/>
          <w:szCs w:val="28"/>
          <w:lang w:val="en-US" w:eastAsia="zh-CN"/>
        </w:rPr>
        <w:t>XX</w:t>
      </w:r>
      <w:r>
        <w:rPr>
          <w:rFonts w:hint="default" w:ascii="Times New Roman" w:hAnsi="Times New Roman" w:cs="Times New Roman" w:eastAsiaTheme="minorEastAsia"/>
          <w:color w:val="auto"/>
          <w:sz w:val="28"/>
          <w:szCs w:val="28"/>
          <w:lang w:val="en-US" w:eastAsia="zh-CN"/>
        </w:rPr>
        <w:t>公司的正式文件、统计报告及履责情况的汇总和统计。报告编写力求符合业界通行的信息披露相关标准，同时立足行业背景，突出企业特色。</w:t>
      </w:r>
    </w:p>
    <w:p>
      <w:pPr>
        <w:pStyle w:val="3"/>
        <w:bidi w:val="0"/>
        <w:rPr>
          <w:rFonts w:hint="default" w:ascii="Times New Roman" w:hAnsi="Times New Roman" w:cs="Times New Roman"/>
          <w:color w:val="auto"/>
          <w:sz w:val="32"/>
          <w:szCs w:val="18"/>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32"/>
          <w:szCs w:val="18"/>
          <w:lang w:val="en-US" w:eastAsia="zh-CN"/>
        </w:rPr>
      </w:pPr>
      <w:bookmarkStart w:id="3" w:name="_Toc4768"/>
      <w:r>
        <w:rPr>
          <w:rFonts w:hint="default" w:ascii="Times New Roman" w:hAnsi="Times New Roman" w:cs="Times New Roman"/>
          <w:color w:val="auto"/>
          <w:sz w:val="32"/>
          <w:szCs w:val="18"/>
          <w:lang w:val="en-US" w:eastAsia="zh-CN"/>
        </w:rPr>
        <w:t>一、关于我们</w:t>
      </w:r>
      <w:bookmarkEnd w:id="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衡阳市建衡实业有限公司是2003年由1958年建厂的原衡阳市建衡化工厂改制组建的民营企业，主要致力于铝盐、水处理剂系列产品的研发、生产、销售与服务。公司获得“全国石油和化学工业先进集体”、“湖南省小巨人计划企业”、“湖南省生活饮用水管理先进单位”、衡阳市“十强民营企业”、“纳税先进单位”、“守合同重信用单位”、“节能降耗先进单位”等荣誉，系湖南省高新技术企业。主导产品硫酸铝、明矾被中国化工学会授予“质量过硬、优秀重点推荐产品”，并被评为湖南省名牌产品，商标“荷花”牌被评为湖南省著名商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近几年，通过投资</w:t>
      </w:r>
      <w:r>
        <w:rPr>
          <w:rFonts w:hint="eastAsia" w:ascii="Times New Roman" w:hAnsi="Times New Roman" w:cs="Times New Roman" w:eastAsiaTheme="minorEastAsia"/>
          <w:color w:val="auto"/>
          <w:sz w:val="28"/>
          <w:szCs w:val="28"/>
          <w:lang w:val="en-US" w:eastAsia="zh-CN"/>
        </w:rPr>
        <w:t>及</w:t>
      </w:r>
      <w:r>
        <w:rPr>
          <w:rFonts w:hint="default" w:ascii="Times New Roman" w:hAnsi="Times New Roman" w:cs="Times New Roman" w:eastAsiaTheme="minorEastAsia"/>
          <w:color w:val="auto"/>
          <w:sz w:val="28"/>
          <w:szCs w:val="28"/>
          <w:lang w:val="en-US" w:eastAsia="zh-CN"/>
        </w:rPr>
        <w:t>建设，现已形成年产8万吨硫酸铝、5万吨聚氯化铝、3万吨铵明矾、3万吨钾明矾、1万吨脱水明矾、1万吨聚合氯化铝铁、1万吨聚合硫酸铝、1万吨无铁硫酸铝、0.5万吨复合疏松剂、2万吨试剂硫酸的生产能力，公司已成为亚洲最大的铝盐系列产品生产基地，生产工艺技术及生产装置自动化水平处于国际先进水平，系全国铝盐专家组组长厂，董事长何朝晖先生任全国无机盐铝盐专家组组长。公司在国家标准化技术委员会的组织领导下，主持制定了食品添加剂国家标准《食品添加剂复合</w:t>
      </w:r>
      <w:r>
        <w:rPr>
          <w:rFonts w:hint="eastAsia" w:ascii="Times New Roman" w:hAnsi="Times New Roman" w:cs="Times New Roman"/>
          <w:color w:val="auto"/>
          <w:sz w:val="28"/>
          <w:szCs w:val="28"/>
          <w:lang w:val="en-US" w:eastAsia="zh-CN"/>
        </w:rPr>
        <w:t>膨</w:t>
      </w:r>
      <w:r>
        <w:rPr>
          <w:rFonts w:hint="default" w:ascii="Times New Roman" w:hAnsi="Times New Roman" w:cs="Times New Roman" w:eastAsiaTheme="minorEastAsia"/>
          <w:color w:val="auto"/>
          <w:sz w:val="28"/>
          <w:szCs w:val="28"/>
          <w:lang w:val="en-US" w:eastAsia="zh-CN"/>
        </w:rPr>
        <w:t>松剂》（</w:t>
      </w:r>
      <w:r>
        <w:rPr>
          <w:rFonts w:hint="default" w:ascii="Times New Roman" w:hAnsi="Times New Roman" w:cs="Times New Roman"/>
          <w:color w:val="000000"/>
          <w:sz w:val="30"/>
          <w:szCs w:val="30"/>
        </w:rPr>
        <w:t>GB</w:t>
      </w:r>
      <w:r>
        <w:rPr>
          <w:rFonts w:hint="eastAsia" w:ascii="Times New Roman" w:hAnsi="Times New Roman" w:cs="Times New Roman"/>
          <w:color w:val="000000"/>
          <w:sz w:val="30"/>
          <w:szCs w:val="30"/>
          <w:lang w:val="en-US" w:eastAsia="zh-CN"/>
        </w:rPr>
        <w:t xml:space="preserve"> 1886.245-2016</w:t>
      </w:r>
      <w:r>
        <w:rPr>
          <w:rFonts w:hint="default" w:ascii="Times New Roman" w:hAnsi="Times New Roman" w:cs="Times New Roman" w:eastAsiaTheme="minorEastAsia"/>
          <w:color w:val="auto"/>
          <w:sz w:val="28"/>
          <w:szCs w:val="28"/>
          <w:lang w:val="en-US" w:eastAsia="zh-CN"/>
        </w:rPr>
        <w:t>）、《食品添加剂 硫酸铝铵》（</w:t>
      </w:r>
      <w:r>
        <w:rPr>
          <w:rFonts w:hint="default" w:ascii="Times New Roman" w:hAnsi="Times New Roman" w:cs="Times New Roman"/>
          <w:color w:val="000000"/>
          <w:sz w:val="30"/>
          <w:szCs w:val="30"/>
        </w:rPr>
        <w:t>GB</w:t>
      </w:r>
      <w:r>
        <w:rPr>
          <w:rFonts w:hint="eastAsia" w:ascii="Times New Roman" w:hAnsi="Times New Roman" w:cs="Times New Roman"/>
          <w:color w:val="000000"/>
          <w:sz w:val="30"/>
          <w:szCs w:val="30"/>
          <w:lang w:val="en-US" w:eastAsia="zh-CN"/>
        </w:rPr>
        <w:t xml:space="preserve"> 1886.342-2021</w:t>
      </w:r>
      <w:r>
        <w:rPr>
          <w:rFonts w:hint="default" w:ascii="Times New Roman" w:hAnsi="Times New Roman" w:cs="Times New Roman" w:eastAsiaTheme="minorEastAsia"/>
          <w:color w:val="auto"/>
          <w:sz w:val="28"/>
          <w:szCs w:val="28"/>
          <w:lang w:val="en-US" w:eastAsia="zh-CN"/>
        </w:rPr>
        <w:t>）及《水处理剂 硫酸铝》（GB31060—2014）、《水处理剂 聚氯化铝》（</w:t>
      </w:r>
      <w:r>
        <w:rPr>
          <w:rFonts w:hint="default" w:ascii="Times New Roman" w:hAnsi="Times New Roman" w:cs="Times New Roman"/>
          <w:color w:val="000000"/>
          <w:sz w:val="30"/>
          <w:szCs w:val="30"/>
        </w:rPr>
        <w:t>GB/T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22627-20</w:t>
      </w:r>
      <w:r>
        <w:rPr>
          <w:rFonts w:hint="eastAsia" w:ascii="Times New Roman" w:hAnsi="Times New Roman" w:cs="Times New Roman"/>
          <w:color w:val="000000"/>
          <w:sz w:val="30"/>
          <w:szCs w:val="30"/>
          <w:lang w:val="en-US" w:eastAsia="zh-CN"/>
        </w:rPr>
        <w:t>22</w:t>
      </w:r>
      <w:r>
        <w:rPr>
          <w:rFonts w:hint="default" w:ascii="Times New Roman" w:hAnsi="Times New Roman" w:cs="Times New Roman" w:eastAsiaTheme="minorEastAsia"/>
          <w:color w:val="auto"/>
          <w:sz w:val="28"/>
          <w:szCs w:val="28"/>
          <w:lang w:val="en-US" w:eastAsia="zh-CN"/>
        </w:rPr>
        <w:t>）等</w:t>
      </w:r>
      <w:r>
        <w:rPr>
          <w:rFonts w:hint="eastAsia" w:ascii="Times New Roman" w:hAnsi="Times New Roman" w:cs="Times New Roman"/>
          <w:color w:val="auto"/>
          <w:sz w:val="28"/>
          <w:szCs w:val="28"/>
          <w:lang w:val="en-US" w:eastAsia="zh-CN"/>
        </w:rPr>
        <w:t>七</w:t>
      </w:r>
      <w:r>
        <w:rPr>
          <w:rFonts w:hint="default" w:ascii="Times New Roman" w:hAnsi="Times New Roman" w:cs="Times New Roman" w:eastAsiaTheme="minorEastAsia"/>
          <w:color w:val="auto"/>
          <w:sz w:val="28"/>
          <w:szCs w:val="28"/>
          <w:lang w:val="en-US" w:eastAsia="zh-CN"/>
        </w:rPr>
        <w:t>项国家强制性标准和</w:t>
      </w:r>
      <w:r>
        <w:rPr>
          <w:rFonts w:hint="eastAsia" w:ascii="Times New Roman" w:hAnsi="Times New Roman" w:cs="Times New Roman"/>
          <w:color w:val="auto"/>
          <w:sz w:val="28"/>
          <w:szCs w:val="28"/>
          <w:lang w:val="en-US" w:eastAsia="zh-CN"/>
        </w:rPr>
        <w:t>十五</w:t>
      </w:r>
      <w:r>
        <w:rPr>
          <w:rFonts w:hint="default" w:ascii="Times New Roman" w:hAnsi="Times New Roman" w:cs="Times New Roman" w:eastAsiaTheme="minorEastAsia"/>
          <w:color w:val="auto"/>
          <w:sz w:val="28"/>
          <w:szCs w:val="28"/>
          <w:lang w:val="en-US" w:eastAsia="zh-CN"/>
        </w:rPr>
        <w:t>项化工行业标准《工业硫酸铝》（</w:t>
      </w: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2225-2018</w:t>
      </w:r>
      <w:r>
        <w:rPr>
          <w:rFonts w:hint="default" w:ascii="Times New Roman" w:hAnsi="Times New Roman" w:cs="Times New Roman" w:eastAsiaTheme="minorEastAsia"/>
          <w:color w:val="auto"/>
          <w:sz w:val="28"/>
          <w:szCs w:val="28"/>
          <w:lang w:val="en-US" w:eastAsia="zh-CN"/>
        </w:rPr>
        <w:t>）、《水处理剂聚氯化铁》（HG/T 4672-2014)。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公司设有产品研发部和拥有核心研发团队，现有各类工程技术人员22人，其中</w:t>
      </w:r>
      <w:r>
        <w:rPr>
          <w:rFonts w:hint="eastAsia" w:ascii="Times New Roman" w:hAnsi="Times New Roman" w:cs="Times New Roman"/>
          <w:color w:val="auto"/>
          <w:sz w:val="28"/>
          <w:szCs w:val="28"/>
          <w:lang w:val="en-US" w:eastAsia="zh-CN"/>
        </w:rPr>
        <w:t>研究员级高级职称</w:t>
      </w:r>
      <w:r>
        <w:rPr>
          <w:rFonts w:hint="default" w:ascii="Times New Roman" w:hAnsi="Times New Roman" w:cs="Times New Roman" w:eastAsiaTheme="minorEastAsia"/>
          <w:color w:val="auto"/>
          <w:sz w:val="28"/>
          <w:szCs w:val="28"/>
          <w:lang w:val="en-US" w:eastAsia="zh-CN"/>
        </w:rPr>
        <w:t>2人，中级职称12人，技术力量雄厚，并与长沙理工大学、天津化工研究设计院等高等院校和科研机构加强战略合作，建立了产学研协同创新机制和创新驱动发展模式，拥有自己的铝盐生产核心技术，并获得了十多项铝盐生产方面的技术专利。公司通过了ISO9001：20</w:t>
      </w:r>
      <w:r>
        <w:rPr>
          <w:rFonts w:hint="eastAsia" w:ascii="Times New Roman" w:hAnsi="Times New Roman" w:cs="Times New Roman"/>
          <w:color w:val="auto"/>
          <w:sz w:val="28"/>
          <w:szCs w:val="28"/>
          <w:lang w:val="en-US" w:eastAsia="zh-CN"/>
        </w:rPr>
        <w:t>15</w:t>
      </w:r>
      <w:r>
        <w:rPr>
          <w:rFonts w:hint="default" w:ascii="Times New Roman" w:hAnsi="Times New Roman" w:cs="Times New Roman" w:eastAsiaTheme="minorEastAsia"/>
          <w:color w:val="auto"/>
          <w:sz w:val="28"/>
          <w:szCs w:val="28"/>
          <w:lang w:val="en-US" w:eastAsia="zh-CN"/>
        </w:rPr>
        <w:t>质量管理体系，ISO14001：20</w:t>
      </w:r>
      <w:r>
        <w:rPr>
          <w:rFonts w:hint="eastAsia" w:ascii="Times New Roman" w:hAnsi="Times New Roman" w:cs="Times New Roman"/>
          <w:color w:val="auto"/>
          <w:sz w:val="28"/>
          <w:szCs w:val="28"/>
          <w:lang w:val="en-US" w:eastAsia="zh-CN"/>
        </w:rPr>
        <w:t>15</w:t>
      </w:r>
      <w:r>
        <w:rPr>
          <w:rFonts w:hint="default" w:ascii="Times New Roman" w:hAnsi="Times New Roman" w:cs="Times New Roman" w:eastAsiaTheme="minorEastAsia"/>
          <w:color w:val="auto"/>
          <w:sz w:val="28"/>
          <w:szCs w:val="28"/>
          <w:lang w:val="en-US" w:eastAsia="zh-CN"/>
        </w:rPr>
        <w:t>环境管理体系、</w:t>
      </w:r>
      <w:r>
        <w:rPr>
          <w:rFonts w:hint="eastAsia" w:ascii="Times New Roman" w:hAnsi="Times New Roman" w:cs="Times New Roman"/>
          <w:color w:val="auto"/>
          <w:sz w:val="28"/>
          <w:szCs w:val="28"/>
          <w:lang w:val="en-US" w:eastAsia="zh-CN"/>
        </w:rPr>
        <w:t>ISO45001:2018</w:t>
      </w:r>
      <w:r>
        <w:rPr>
          <w:rFonts w:hint="default" w:ascii="Times New Roman" w:hAnsi="Times New Roman" w:cs="Times New Roman" w:eastAsiaTheme="minorEastAsia"/>
          <w:color w:val="auto"/>
          <w:sz w:val="28"/>
          <w:szCs w:val="28"/>
          <w:lang w:val="en-US" w:eastAsia="zh-CN"/>
        </w:rPr>
        <w:t>职业健康安全管理体系认证。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eastAsia" w:ascii="Times New Roman" w:hAnsi="Times New Roman" w:cs="Times New Roman" w:eastAsiaTheme="minorEastAsia"/>
          <w:color w:val="auto"/>
          <w:sz w:val="28"/>
          <w:szCs w:val="28"/>
          <w:lang w:val="en-US" w:eastAsia="zh-CN"/>
        </w:rPr>
        <w:t>企业现已成为</w:t>
      </w:r>
      <w:r>
        <w:rPr>
          <w:rFonts w:hint="default" w:ascii="Times New Roman" w:hAnsi="Times New Roman" w:cs="Times New Roman" w:eastAsiaTheme="minorEastAsia"/>
          <w:color w:val="auto"/>
          <w:sz w:val="28"/>
          <w:szCs w:val="28"/>
          <w:lang w:val="en-US" w:eastAsia="zh-CN"/>
        </w:rPr>
        <w:t>亚洲最大的铝铁盐水处理剂系列产品生产基地，全国铝盐专家组组长厂。</w:t>
      </w:r>
      <w:r>
        <w:rPr>
          <w:rFonts w:hint="eastAsia" w:ascii="Times New Roman" w:hAnsi="Times New Roman" w:cs="Times New Roman" w:eastAsiaTheme="minorEastAsia"/>
          <w:color w:val="auto"/>
          <w:sz w:val="28"/>
          <w:szCs w:val="28"/>
          <w:lang w:val="en-US" w:eastAsia="zh-CN"/>
        </w:rPr>
        <w:t>是</w:t>
      </w:r>
      <w:r>
        <w:rPr>
          <w:rFonts w:hint="default" w:ascii="Times New Roman" w:hAnsi="Times New Roman" w:cs="Times New Roman" w:eastAsiaTheme="minorEastAsia"/>
          <w:color w:val="auto"/>
          <w:sz w:val="28"/>
          <w:szCs w:val="28"/>
          <w:lang w:val="en-US" w:eastAsia="zh-CN"/>
        </w:rPr>
        <w:t>全国铝盐、水处理剂行业中的生产规模最大，产品品种最多， 生产工艺及装备水平最先进，品牌效应最好的龙头企业，产品国内市场占有率第一名， 还远销东南亚、中东、非洲等地区，为中国铝盐及水处理剂行业的发展做出了较大的贡献。</w:t>
      </w:r>
    </w:p>
    <w:p>
      <w:pPr>
        <w:pStyle w:val="15"/>
        <w:widowControl/>
        <w:snapToGrid w:val="0"/>
        <w:spacing w:line="360" w:lineRule="auto"/>
        <w:ind w:firstLine="480"/>
        <w:rPr>
          <w:rFonts w:hint="default" w:ascii="Times New Roman" w:hAnsi="Times New Roman" w:cs="Times New Roman" w:eastAsiaTheme="minorEastAsia"/>
          <w:color w:val="auto"/>
          <w:kern w:val="2"/>
          <w:sz w:val="28"/>
          <w:szCs w:val="28"/>
          <w:lang w:val="en-US" w:eastAsia="zh-CN" w:bidi="ar-SA"/>
        </w:rPr>
      </w:pPr>
      <w:r>
        <w:rPr>
          <w:rFonts w:hint="default" w:ascii="Times New Roman" w:hAnsi="Times New Roman" w:cs="Times New Roman" w:eastAsiaTheme="minorEastAsia"/>
          <w:color w:val="auto"/>
          <w:kern w:val="2"/>
          <w:sz w:val="28"/>
          <w:szCs w:val="28"/>
          <w:lang w:val="en-US" w:eastAsia="zh-CN" w:bidi="ar-SA"/>
        </w:rPr>
        <w:t>公司所获</w:t>
      </w:r>
      <w:r>
        <w:rPr>
          <w:rFonts w:hint="eastAsia" w:ascii="Times New Roman" w:hAnsi="Times New Roman" w:cs="Times New Roman" w:eastAsiaTheme="minorEastAsia"/>
          <w:color w:val="auto"/>
          <w:kern w:val="2"/>
          <w:sz w:val="28"/>
          <w:szCs w:val="28"/>
          <w:lang w:val="en-US" w:eastAsia="zh-CN" w:bidi="ar-SA"/>
        </w:rPr>
        <w:t>部分</w:t>
      </w:r>
      <w:r>
        <w:rPr>
          <w:rFonts w:hint="default" w:ascii="Times New Roman" w:hAnsi="Times New Roman" w:cs="Times New Roman" w:eastAsiaTheme="minorEastAsia"/>
          <w:color w:val="auto"/>
          <w:kern w:val="2"/>
          <w:sz w:val="28"/>
          <w:szCs w:val="28"/>
          <w:lang w:val="en-US" w:eastAsia="zh-CN" w:bidi="ar-SA"/>
        </w:rPr>
        <w:t>荣誉</w:t>
      </w:r>
      <w:r>
        <w:rPr>
          <w:rFonts w:hint="eastAsia" w:ascii="Times New Roman" w:hAnsi="Times New Roman" w:cs="Times New Roman" w:eastAsiaTheme="minorEastAsia"/>
          <w:color w:val="auto"/>
          <w:kern w:val="2"/>
          <w:sz w:val="28"/>
          <w:szCs w:val="28"/>
          <w:lang w:val="en-US" w:eastAsia="zh-CN" w:bidi="ar-SA"/>
        </w:rPr>
        <w:t>资质</w:t>
      </w:r>
      <w:r>
        <w:rPr>
          <w:rFonts w:hint="default" w:ascii="Times New Roman" w:hAnsi="Times New Roman" w:cs="Times New Roman" w:eastAsiaTheme="minorEastAsia"/>
          <w:color w:val="auto"/>
          <w:kern w:val="2"/>
          <w:sz w:val="28"/>
          <w:szCs w:val="28"/>
          <w:lang w:val="en-US" w:eastAsia="zh-CN" w:bidi="ar-SA"/>
        </w:rPr>
        <w:t>情况如下图：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eastAsia="宋体" w:cs="Times New Roman"/>
                <w:b/>
                <w:bCs/>
                <w:color w:val="000000"/>
                <w:kern w:val="0"/>
                <w:sz w:val="24"/>
                <w:szCs w:val="24"/>
                <w:vertAlign w:val="baseline"/>
                <w:lang w:val="en-US" w:eastAsia="zh-CN"/>
              </w:rPr>
            </w:pPr>
            <w:r>
              <w:rPr>
                <w:color w:val="000000" w:themeColor="text1"/>
              </w:rPr>
              <w:drawing>
                <wp:inline distT="0" distB="0" distL="114300" distR="114300">
                  <wp:extent cx="2705100" cy="1856105"/>
                  <wp:effectExtent l="0" t="0" r="0" b="10795"/>
                  <wp:docPr id="14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9"/>
                          <pic:cNvPicPr>
                            <a:picLocks noChangeAspect="1"/>
                          </pic:cNvPicPr>
                        </pic:nvPicPr>
                        <pic:blipFill>
                          <a:blip r:embed="rId6"/>
                          <a:srcRect/>
                          <a:stretch>
                            <a:fillRect/>
                          </a:stretch>
                        </pic:blipFill>
                        <pic:spPr>
                          <a:xfrm>
                            <a:off x="0" y="0"/>
                            <a:ext cx="2705100" cy="1856105"/>
                          </a:xfrm>
                          <a:prstGeom prst="rect">
                            <a:avLst/>
                          </a:prstGeom>
                          <a:noFill/>
                          <a:ln>
                            <a:noFill/>
                          </a:ln>
                        </pic:spPr>
                      </pic:pic>
                    </a:graphicData>
                  </a:graphic>
                </wp:inline>
              </w:drawing>
            </w:r>
          </w:p>
        </w:tc>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eastAsia="宋体" w:cs="Times New Roman"/>
                <w:b/>
                <w:bCs/>
                <w:color w:val="000000"/>
                <w:kern w:val="0"/>
                <w:sz w:val="24"/>
                <w:szCs w:val="24"/>
                <w:vertAlign w:val="baseline"/>
                <w:lang w:val="en-US" w:eastAsia="zh-CN"/>
              </w:rPr>
            </w:pPr>
            <w:r>
              <w:rPr>
                <w:color w:val="000000" w:themeColor="text1"/>
              </w:rPr>
              <w:drawing>
                <wp:inline distT="0" distB="0" distL="114300" distR="114300">
                  <wp:extent cx="2542540" cy="1823720"/>
                  <wp:effectExtent l="0" t="0" r="10160" b="5080"/>
                  <wp:docPr id="147" name="图片 15"/>
                  <wp:cNvGraphicFramePr/>
                  <a:graphic xmlns:a="http://schemas.openxmlformats.org/drawingml/2006/main">
                    <a:graphicData uri="http://schemas.openxmlformats.org/drawingml/2006/picture">
                      <pic:pic xmlns:pic="http://schemas.openxmlformats.org/drawingml/2006/picture">
                        <pic:nvPicPr>
                          <pic:cNvPr id="147" name="图片 15"/>
                          <pic:cNvPicPr/>
                        </pic:nvPicPr>
                        <pic:blipFill>
                          <a:blip r:embed="rId7"/>
                          <a:srcRect/>
                          <a:stretch>
                            <a:fillRect/>
                          </a:stretch>
                        </pic:blipFill>
                        <pic:spPr>
                          <a:xfrm>
                            <a:off x="0" y="0"/>
                            <a:ext cx="2542540" cy="18237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spacing w:line="360" w:lineRule="auto"/>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高新技术企业</w:t>
            </w:r>
          </w:p>
        </w:tc>
        <w:tc>
          <w:tcPr>
            <w:tcW w:w="4261" w:type="dxa"/>
            <w:vAlign w:val="top"/>
          </w:tcPr>
          <w:p>
            <w:pPr>
              <w:spacing w:line="360" w:lineRule="auto"/>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湖南省两型工业企业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2531745" cy="1887220"/>
                  <wp:effectExtent l="0" t="0" r="1905" b="17780"/>
                  <wp:docPr id="7" name="图片 7" descr="节水型企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节水型企业1"/>
                          <pic:cNvPicPr>
                            <a:picLocks noChangeAspect="1"/>
                          </pic:cNvPicPr>
                        </pic:nvPicPr>
                        <pic:blipFill>
                          <a:blip r:embed="rId8"/>
                          <a:stretch>
                            <a:fillRect/>
                          </a:stretch>
                        </pic:blipFill>
                        <pic:spPr>
                          <a:xfrm>
                            <a:off x="0" y="0"/>
                            <a:ext cx="2531745" cy="1887220"/>
                          </a:xfrm>
                          <a:prstGeom prst="rect">
                            <a:avLst/>
                          </a:prstGeom>
                        </pic:spPr>
                      </pic:pic>
                    </a:graphicData>
                  </a:graphic>
                </wp:inline>
              </w:drawing>
            </w:r>
          </w:p>
        </w:tc>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default" w:ascii="宋体" w:hAnsi="宋体" w:cs="宋体"/>
                <w:b/>
                <w:color w:val="000000" w:themeColor="text1"/>
                <w:sz w:val="24"/>
                <w:szCs w:val="24"/>
              </w:rPr>
            </w:pPr>
            <w:r>
              <w:drawing>
                <wp:inline distT="0" distB="0" distL="114300" distR="114300">
                  <wp:extent cx="2566035" cy="1831340"/>
                  <wp:effectExtent l="0" t="0" r="5715"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2566035" cy="1831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节水型企业</w:t>
            </w:r>
          </w:p>
        </w:tc>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湖南省新材料企业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eastAsia="仿宋_GB2312" w:cs="Times New Roman"/>
                <w:szCs w:val="21"/>
                <w:lang w:val="en-US" w:eastAsia="zh-CN"/>
              </w:rPr>
            </w:pPr>
            <w:r>
              <w:rPr>
                <w:color w:val="000000" w:themeColor="text1"/>
              </w:rPr>
              <w:drawing>
                <wp:inline distT="0" distB="0" distL="114300" distR="114300">
                  <wp:extent cx="2571115" cy="1614170"/>
                  <wp:effectExtent l="0" t="0" r="635" b="5080"/>
                  <wp:docPr id="3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6"/>
                          <pic:cNvPicPr>
                            <a:picLocks noChangeAspect="1"/>
                          </pic:cNvPicPr>
                        </pic:nvPicPr>
                        <pic:blipFill>
                          <a:blip r:embed="rId10"/>
                          <a:srcRect/>
                          <a:stretch>
                            <a:fillRect/>
                          </a:stretch>
                        </pic:blipFill>
                        <pic:spPr>
                          <a:xfrm>
                            <a:off x="0" y="0"/>
                            <a:ext cx="2571115" cy="1614170"/>
                          </a:xfrm>
                          <a:prstGeom prst="rect">
                            <a:avLst/>
                          </a:prstGeom>
                          <a:noFill/>
                          <a:ln>
                            <a:noFill/>
                          </a:ln>
                        </pic:spPr>
                      </pic:pic>
                    </a:graphicData>
                  </a:graphic>
                </wp:inline>
              </w:drawing>
            </w:r>
          </w:p>
        </w:tc>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eastAsia="仿宋_GB2312" w:cs="Times New Roman"/>
                <w:szCs w:val="21"/>
                <w:lang w:val="en-US" w:eastAsia="zh-CN"/>
              </w:rPr>
            </w:pPr>
            <w:r>
              <w:rPr>
                <w:rFonts w:hint="default" w:ascii="宋体" w:hAnsi="宋体" w:cs="宋体"/>
                <w:b/>
                <w:color w:val="000000" w:themeColor="text1"/>
                <w:sz w:val="24"/>
                <w:szCs w:val="24"/>
              </w:rPr>
              <w:drawing>
                <wp:inline distT="0" distB="0" distL="114300" distR="114300">
                  <wp:extent cx="2657475" cy="1617345"/>
                  <wp:effectExtent l="0" t="0" r="9525" b="1905"/>
                  <wp:docPr id="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pic:cNvPicPr>
                            <a:picLocks noChangeAspect="1"/>
                          </pic:cNvPicPr>
                        </pic:nvPicPr>
                        <pic:blipFill>
                          <a:blip r:embed="rId11"/>
                          <a:srcRect l="1094" t="6534" r="1617" b="9793"/>
                          <a:stretch>
                            <a:fillRect/>
                          </a:stretch>
                        </pic:blipFill>
                        <pic:spPr>
                          <a:xfrm>
                            <a:off x="0" y="0"/>
                            <a:ext cx="2657475" cy="1617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spacing w:line="360" w:lineRule="auto"/>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省长质量奖</w:t>
            </w:r>
          </w:p>
        </w:tc>
        <w:tc>
          <w:tcPr>
            <w:tcW w:w="4261" w:type="dxa"/>
            <w:vAlign w:val="top"/>
          </w:tcPr>
          <w:p>
            <w:pPr>
              <w:spacing w:line="360" w:lineRule="auto"/>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发展领军奖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color w:val="000000" w:themeColor="text1"/>
              </w:rPr>
            </w:pPr>
            <w:r>
              <w:drawing>
                <wp:inline distT="0" distB="0" distL="114300" distR="114300">
                  <wp:extent cx="2565400" cy="3518535"/>
                  <wp:effectExtent l="0" t="0" r="635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2565400" cy="3518535"/>
                          </a:xfrm>
                          <a:prstGeom prst="rect">
                            <a:avLst/>
                          </a:prstGeom>
                          <a:noFill/>
                          <a:ln>
                            <a:noFill/>
                          </a:ln>
                        </pic:spPr>
                      </pic:pic>
                    </a:graphicData>
                  </a:graphic>
                </wp:inline>
              </w:drawing>
            </w:r>
          </w:p>
        </w:tc>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default" w:ascii="宋体" w:hAnsi="宋体" w:cs="宋体"/>
                <w:b/>
                <w:color w:val="000000" w:themeColor="text1"/>
                <w:sz w:val="24"/>
                <w:szCs w:val="24"/>
              </w:rPr>
            </w:pPr>
            <w:r>
              <w:drawing>
                <wp:inline distT="0" distB="0" distL="114300" distR="114300">
                  <wp:extent cx="2567940" cy="3527425"/>
                  <wp:effectExtent l="0" t="0" r="3810" b="158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2567940" cy="3527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专精特新中小企业</w:t>
            </w:r>
          </w:p>
        </w:tc>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科学技术奖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cs="Times New Roman"/>
                <w:color w:val="000000"/>
                <w:kern w:val="0"/>
                <w:sz w:val="24"/>
                <w:szCs w:val="24"/>
                <w:lang w:val="en-US" w:eastAsia="zh-CN"/>
              </w:rPr>
            </w:pPr>
            <w:r>
              <w:drawing>
                <wp:inline distT="0" distB="0" distL="114300" distR="114300">
                  <wp:extent cx="2560320" cy="1530350"/>
                  <wp:effectExtent l="0" t="0" r="11430" b="1270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4"/>
                          <a:stretch>
                            <a:fillRect/>
                          </a:stretch>
                        </pic:blipFill>
                        <pic:spPr>
                          <a:xfrm>
                            <a:off x="0" y="0"/>
                            <a:ext cx="2560320" cy="1530350"/>
                          </a:xfrm>
                          <a:prstGeom prst="rect">
                            <a:avLst/>
                          </a:prstGeom>
                          <a:noFill/>
                          <a:ln>
                            <a:noFill/>
                          </a:ln>
                        </pic:spPr>
                      </pic:pic>
                    </a:graphicData>
                  </a:graphic>
                </wp:inline>
              </w:drawing>
            </w:r>
          </w:p>
        </w:tc>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cs="Times New Roman"/>
                <w:color w:val="000000"/>
                <w:kern w:val="0"/>
                <w:sz w:val="24"/>
                <w:szCs w:val="24"/>
                <w:lang w:val="en-US" w:eastAsia="zh-CN"/>
              </w:rPr>
            </w:pPr>
            <w:r>
              <w:drawing>
                <wp:inline distT="0" distB="0" distL="114300" distR="114300">
                  <wp:extent cx="2562860" cy="1558925"/>
                  <wp:effectExtent l="0" t="0" r="8890" b="317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5"/>
                          <a:stretch>
                            <a:fillRect/>
                          </a:stretch>
                        </pic:blipFill>
                        <pic:spPr>
                          <a:xfrm>
                            <a:off x="0" y="0"/>
                            <a:ext cx="2562860" cy="1558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湖南省企业科技创新团队</w:t>
            </w:r>
          </w:p>
        </w:tc>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水处理剂工程技术研究中心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cs="Times New Roman"/>
                <w:color w:val="000000"/>
                <w:kern w:val="0"/>
                <w:sz w:val="24"/>
                <w:szCs w:val="24"/>
                <w:lang w:val="en-US" w:eastAsia="zh-CN"/>
              </w:rPr>
            </w:pPr>
            <w:r>
              <w:rPr>
                <w:rFonts w:hint="eastAsia" w:ascii="宋体" w:hAnsi="宋体" w:cs="宋体"/>
                <w:b/>
                <w:bCs/>
                <w:sz w:val="24"/>
              </w:rPr>
              <w:drawing>
                <wp:inline distT="0" distB="0" distL="114300" distR="114300">
                  <wp:extent cx="2518410" cy="1654175"/>
                  <wp:effectExtent l="0" t="0" r="15240" b="3175"/>
                  <wp:docPr id="58" name="图片 58" descr="质量信用等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质量信用等级"/>
                          <pic:cNvPicPr>
                            <a:picLocks noChangeAspect="1"/>
                          </pic:cNvPicPr>
                        </pic:nvPicPr>
                        <pic:blipFill>
                          <a:blip r:embed="rId16"/>
                          <a:stretch>
                            <a:fillRect/>
                          </a:stretch>
                        </pic:blipFill>
                        <pic:spPr>
                          <a:xfrm>
                            <a:off x="0" y="0"/>
                            <a:ext cx="2518410" cy="1654175"/>
                          </a:xfrm>
                          <a:prstGeom prst="rect">
                            <a:avLst/>
                          </a:prstGeom>
                        </pic:spPr>
                      </pic:pic>
                    </a:graphicData>
                  </a:graphic>
                </wp:inline>
              </w:drawing>
            </w:r>
          </w:p>
        </w:tc>
        <w:tc>
          <w:tcPr>
            <w:tcW w:w="4261" w:type="dxa"/>
            <w:vAlign w:val="top"/>
          </w:tcPr>
          <w:p>
            <w:pPr>
              <w:pStyle w:val="15"/>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leftChars="0" w:firstLine="0" w:firstLineChars="0"/>
              <w:jc w:val="both"/>
              <w:textAlignment w:val="auto"/>
              <w:rPr>
                <w:rFonts w:hint="eastAsia" w:ascii="Times New Roman" w:hAnsi="Times New Roman" w:cs="Times New Roman"/>
                <w:color w:val="000000"/>
                <w:kern w:val="0"/>
                <w:sz w:val="24"/>
                <w:szCs w:val="24"/>
                <w:lang w:val="en-US" w:eastAsia="zh-CN"/>
              </w:rPr>
            </w:pPr>
            <w:r>
              <w:rPr>
                <w:rFonts w:hint="eastAsia" w:ascii="宋体" w:hAnsi="宋体" w:cs="宋体"/>
                <w:b/>
                <w:bCs/>
                <w:sz w:val="24"/>
                <w:lang w:val="en-US" w:eastAsia="zh-CN"/>
              </w:rPr>
              <w:drawing>
                <wp:inline distT="0" distB="0" distL="114300" distR="114300">
                  <wp:extent cx="2493010" cy="1666240"/>
                  <wp:effectExtent l="0" t="0" r="2540" b="10160"/>
                  <wp:docPr id="57" name="图片 57" descr="中国无机盐突出贡献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中国无机盐突出贡献奖"/>
                          <pic:cNvPicPr>
                            <a:picLocks noChangeAspect="1"/>
                          </pic:cNvPicPr>
                        </pic:nvPicPr>
                        <pic:blipFill>
                          <a:blip r:embed="rId17"/>
                          <a:stretch>
                            <a:fillRect/>
                          </a:stretch>
                        </pic:blipFill>
                        <pic:spPr>
                          <a:xfrm>
                            <a:off x="0" y="0"/>
                            <a:ext cx="2493010" cy="1666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spacing w:line="360" w:lineRule="auto"/>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质量信用等级证书</w:t>
            </w:r>
          </w:p>
        </w:tc>
        <w:tc>
          <w:tcPr>
            <w:tcW w:w="4261" w:type="dxa"/>
            <w:vAlign w:val="top"/>
          </w:tcPr>
          <w:p>
            <w:pPr>
              <w:spacing w:line="360" w:lineRule="auto"/>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突出贡献的企事业单位</w:t>
            </w:r>
          </w:p>
        </w:tc>
      </w:tr>
    </w:tbl>
    <w:p>
      <w:pPr>
        <w:pStyle w:val="15"/>
        <w:widowControl/>
        <w:snapToGrid w:val="0"/>
        <w:spacing w:before="240" w:line="360" w:lineRule="auto"/>
        <w:ind w:firstLine="0" w:firstLineChars="0"/>
        <w:jc w:val="center"/>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b/>
          <w:kern w:val="0"/>
          <w:sz w:val="24"/>
          <w:szCs w:val="24"/>
        </w:rPr>
        <w:t>图1</w:t>
      </w:r>
      <w:r>
        <w:rPr>
          <w:rFonts w:hint="default" w:ascii="Times New Roman" w:hAnsi="Times New Roman" w:eastAsia="仿宋_GB2312" w:cs="Times New Roman"/>
          <w:b/>
          <w:kern w:val="0"/>
          <w:sz w:val="24"/>
          <w:szCs w:val="24"/>
          <w:lang w:val="en-US" w:eastAsia="zh-CN"/>
        </w:rPr>
        <w:t>.</w:t>
      </w:r>
      <w:r>
        <w:rPr>
          <w:rFonts w:hint="default" w:ascii="Times New Roman" w:hAnsi="Times New Roman" w:eastAsia="仿宋_GB2312" w:cs="Times New Roman"/>
          <w:b/>
          <w:kern w:val="0"/>
          <w:sz w:val="24"/>
          <w:szCs w:val="24"/>
        </w:rPr>
        <w:t>1</w:t>
      </w:r>
      <w:r>
        <w:rPr>
          <w:rFonts w:hint="default" w:ascii="Times New Roman" w:hAnsi="Times New Roman" w:eastAsia="仿宋_GB2312" w:cs="Times New Roman"/>
          <w:b/>
          <w:kern w:val="0"/>
          <w:sz w:val="24"/>
          <w:szCs w:val="24"/>
          <w:lang w:val="en-US" w:eastAsia="zh-CN"/>
        </w:rPr>
        <w:t>.</w:t>
      </w:r>
      <w:r>
        <w:rPr>
          <w:rFonts w:hint="default" w:ascii="Times New Roman" w:hAnsi="Times New Roman" w:eastAsia="仿宋_GB2312" w:cs="Times New Roman"/>
          <w:b/>
          <w:kern w:val="0"/>
          <w:sz w:val="24"/>
          <w:szCs w:val="24"/>
        </w:rPr>
        <w:t>1</w:t>
      </w:r>
      <w:r>
        <w:rPr>
          <w:rFonts w:hint="default" w:ascii="Times New Roman" w:hAnsi="Times New Roman" w:eastAsia="仿宋_GB2312" w:cs="Times New Roman"/>
          <w:b/>
          <w:kern w:val="0"/>
          <w:sz w:val="24"/>
          <w:szCs w:val="24"/>
          <w:lang w:val="en-US" w:eastAsia="zh-CN"/>
        </w:rPr>
        <w:t>-1</w:t>
      </w:r>
      <w:r>
        <w:rPr>
          <w:rFonts w:hint="default" w:ascii="Times New Roman" w:hAnsi="Times New Roman" w:eastAsia="仿宋_GB2312" w:cs="Times New Roman"/>
          <w:b/>
          <w:kern w:val="0"/>
          <w:sz w:val="24"/>
          <w:szCs w:val="24"/>
        </w:rPr>
        <w:t xml:space="preserve">  公司</w:t>
      </w:r>
      <w:r>
        <w:rPr>
          <w:rFonts w:hint="eastAsia" w:ascii="Times New Roman" w:hAnsi="Times New Roman" w:eastAsia="仿宋_GB2312" w:cs="Times New Roman"/>
          <w:b/>
          <w:kern w:val="0"/>
          <w:sz w:val="24"/>
          <w:szCs w:val="24"/>
          <w:lang w:eastAsia="zh-CN"/>
        </w:rPr>
        <w:t>主要</w:t>
      </w:r>
      <w:r>
        <w:rPr>
          <w:rFonts w:hint="default" w:ascii="Times New Roman" w:hAnsi="Times New Roman" w:eastAsia="仿宋_GB2312" w:cs="Times New Roman"/>
          <w:b/>
          <w:kern w:val="0"/>
          <w:sz w:val="24"/>
          <w:szCs w:val="24"/>
        </w:rPr>
        <w:t>荣誉</w:t>
      </w:r>
      <w:r>
        <w:rPr>
          <w:rFonts w:hint="eastAsia" w:ascii="Times New Roman" w:hAnsi="Times New Roman" w:eastAsia="仿宋_GB2312" w:cs="Times New Roman"/>
          <w:b/>
          <w:kern w:val="0"/>
          <w:sz w:val="24"/>
          <w:szCs w:val="24"/>
          <w:lang w:eastAsia="zh-CN"/>
        </w:rPr>
        <w:t>资质</w:t>
      </w:r>
      <w:r>
        <w:rPr>
          <w:rFonts w:hint="default" w:ascii="Times New Roman" w:hAnsi="Times New Roman" w:eastAsia="仿宋_GB2312" w:cs="Times New Roman"/>
          <w:b/>
          <w:kern w:val="0"/>
          <w:sz w:val="24"/>
          <w:szCs w:val="24"/>
        </w:rPr>
        <w:t>证书</w:t>
      </w:r>
    </w:p>
    <w:p>
      <w:pPr>
        <w:pStyle w:val="15"/>
        <w:widowControl/>
        <w:snapToGrid w:val="0"/>
        <w:spacing w:line="360" w:lineRule="auto"/>
        <w:ind w:firstLine="480"/>
        <w:rPr>
          <w:rFonts w:hint="eastAsia" w:ascii="Times New Roman" w:hAnsi="Times New Roman" w:eastAsia="仿宋_GB2312" w:cs="Times New Roman"/>
          <w:color w:val="000000" w:themeColor="text1"/>
          <w:kern w:val="0"/>
          <w:sz w:val="24"/>
          <w:szCs w:val="24"/>
          <w:highlight w:val="none"/>
          <w:lang w:val="en-US" w:eastAsia="zh-CN"/>
        </w:rPr>
      </w:pPr>
      <w:r>
        <w:rPr>
          <w:rFonts w:hint="eastAsia" w:ascii="Times New Roman" w:hAnsi="Times New Roman" w:eastAsia="仿宋_GB2312" w:cs="Times New Roman"/>
          <w:color w:val="000000" w:themeColor="text1"/>
          <w:kern w:val="0"/>
          <w:sz w:val="24"/>
          <w:szCs w:val="24"/>
          <w:highlight w:val="none"/>
          <w:lang w:val="en-US" w:eastAsia="zh-CN"/>
        </w:rPr>
        <w:t>公司主持起草的国家标准和行业标准情况如下表：</w:t>
      </w:r>
    </w:p>
    <w:p>
      <w:pPr>
        <w:spacing w:line="360" w:lineRule="auto"/>
        <w:jc w:val="center"/>
        <w:rPr>
          <w:rFonts w:hint="eastAsia" w:ascii="Times New Roman" w:hAnsi="Times New Roman" w:eastAsia="仿宋_GB2312" w:cs="Times New Roman"/>
          <w:b/>
          <w:color w:val="000000" w:themeColor="text1"/>
          <w:sz w:val="24"/>
          <w:szCs w:val="24"/>
          <w:highlight w:val="none"/>
          <w:lang w:val="en-US" w:eastAsia="zh-CN"/>
        </w:rPr>
      </w:pPr>
      <w:r>
        <w:rPr>
          <w:rFonts w:hint="eastAsia" w:ascii="Times New Roman" w:hAnsi="Times New Roman" w:eastAsia="仿宋_GB2312" w:cs="Times New Roman"/>
          <w:b/>
          <w:color w:val="000000" w:themeColor="text1"/>
          <w:sz w:val="24"/>
          <w:szCs w:val="24"/>
          <w:highlight w:val="none"/>
          <w:lang w:val="en-US" w:eastAsia="zh-CN"/>
        </w:rPr>
        <w:t>表1-1 建衡实业主持起草的7项国标和15项行标汇总表</w:t>
      </w:r>
    </w:p>
    <w:tbl>
      <w:tblPr>
        <w:tblStyle w:val="10"/>
        <w:tblW w:w="889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4971"/>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8897" w:type="dxa"/>
            <w:gridSpan w:val="3"/>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b/>
                <w:color w:val="000000"/>
                <w:sz w:val="32"/>
                <w:szCs w:val="32"/>
              </w:rPr>
              <w:t>建衡实业主持起草的7项国标和</w:t>
            </w:r>
            <w:r>
              <w:rPr>
                <w:rFonts w:hint="eastAsia"/>
                <w:b/>
                <w:color w:val="000000"/>
                <w:sz w:val="32"/>
                <w:szCs w:val="32"/>
                <w:lang w:val="en-US" w:eastAsia="zh-CN"/>
              </w:rPr>
              <w:t>15</w:t>
            </w:r>
            <w:r>
              <w:rPr>
                <w:b/>
                <w:color w:val="000000"/>
                <w:sz w:val="32"/>
                <w:szCs w:val="32"/>
              </w:rPr>
              <w:t>项行标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Align w:val="center"/>
          </w:tcPr>
          <w:p>
            <w:pPr>
              <w:pStyle w:val="8"/>
              <w:keepNext w:val="0"/>
              <w:keepLines w:val="0"/>
              <w:widowControl/>
              <w:suppressLineNumbers w:val="0"/>
              <w:ind w:left="0" w:leftChars="0" w:right="0" w:rightChars="0"/>
              <w:jc w:val="center"/>
              <w:rPr>
                <w:rFonts w:hint="default"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类型</w:t>
            </w:r>
          </w:p>
        </w:tc>
        <w:tc>
          <w:tcPr>
            <w:tcW w:w="4971" w:type="dxa"/>
            <w:vAlign w:val="center"/>
          </w:tcPr>
          <w:p>
            <w:pPr>
              <w:pStyle w:val="8"/>
              <w:keepNext w:val="0"/>
              <w:keepLines w:val="0"/>
              <w:widowControl/>
              <w:suppressLineNumbers w:val="0"/>
              <w:ind w:left="0" w:leftChars="0" w:right="0" w:rightChars="0"/>
              <w:jc w:val="center"/>
              <w:rPr>
                <w:rFonts w:hint="default"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名</w:t>
            </w:r>
            <w:r>
              <w:rPr>
                <w:rFonts w:hint="eastAsia" w:ascii="Times New Roman" w:hAnsi="Times New Roman" w:cs="Times New Roman"/>
                <w:color w:val="000000"/>
                <w:sz w:val="30"/>
                <w:szCs w:val="30"/>
                <w:lang w:eastAsia="zh-CN"/>
              </w:rPr>
              <w:t xml:space="preserve"> </w:t>
            </w:r>
            <w:r>
              <w:rPr>
                <w:rFonts w:hint="default" w:ascii="Times New Roman" w:hAnsi="Times New Roman" w:cs="Times New Roman"/>
                <w:color w:val="000000"/>
                <w:sz w:val="30"/>
                <w:szCs w:val="30"/>
              </w:rPr>
              <w:t>称</w:t>
            </w:r>
          </w:p>
        </w:tc>
        <w:tc>
          <w:tcPr>
            <w:tcW w:w="2931" w:type="dxa"/>
            <w:vAlign w:val="center"/>
          </w:tcPr>
          <w:p>
            <w:pPr>
              <w:pStyle w:val="8"/>
              <w:keepNext w:val="0"/>
              <w:keepLines w:val="0"/>
              <w:widowControl/>
              <w:suppressLineNumbers w:val="0"/>
              <w:ind w:left="0" w:leftChars="0" w:right="0" w:rightChars="0"/>
              <w:jc w:val="center"/>
              <w:rPr>
                <w:rFonts w:hint="default"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restart"/>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国家标准</w:t>
            </w:r>
          </w:p>
        </w:tc>
        <w:tc>
          <w:tcPr>
            <w:tcW w:w="497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水处理剂 聚氯化铝</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22627-20</w:t>
            </w:r>
            <w:r>
              <w:rPr>
                <w:rFonts w:hint="eastAsia" w:ascii="Times New Roman" w:hAnsi="Times New Roman" w:cs="Times New Roman"/>
                <w:color w:val="000000"/>
                <w:sz w:val="30"/>
                <w:szCs w:val="30"/>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水处理剂 硫酸铝</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31060-2014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食品添加剂 硫酸铝铵</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w:t>
            </w:r>
            <w:r>
              <w:rPr>
                <w:rFonts w:hint="eastAsia" w:ascii="Times New Roman" w:hAnsi="Times New Roman" w:cs="Times New Roman"/>
                <w:color w:val="000000"/>
                <w:sz w:val="30"/>
                <w:szCs w:val="30"/>
                <w:lang w:val="en-US" w:eastAsia="zh-CN"/>
              </w:rPr>
              <w:t xml:space="preserve"> 1886.342-2021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食品添加剂 复合</w:t>
            </w:r>
            <w:r>
              <w:rPr>
                <w:rFonts w:hint="eastAsia" w:ascii="Times New Roman" w:hAnsi="Times New Roman" w:cs="Times New Roman"/>
                <w:color w:val="000000"/>
                <w:sz w:val="30"/>
                <w:szCs w:val="30"/>
                <w:lang w:eastAsia="zh-CN"/>
              </w:rPr>
              <w:t>膨松</w:t>
            </w:r>
            <w:r>
              <w:rPr>
                <w:rFonts w:hint="default" w:ascii="Times New Roman" w:hAnsi="Times New Roman" w:cs="Times New Roman"/>
                <w:color w:val="000000"/>
                <w:sz w:val="30"/>
                <w:szCs w:val="30"/>
              </w:rPr>
              <w:t>剂</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w:t>
            </w:r>
            <w:r>
              <w:rPr>
                <w:rFonts w:hint="eastAsia" w:ascii="Times New Roman" w:hAnsi="Times New Roman" w:cs="Times New Roman"/>
                <w:color w:val="000000"/>
                <w:sz w:val="30"/>
                <w:szCs w:val="30"/>
                <w:lang w:val="en-US" w:eastAsia="zh-CN"/>
              </w:rPr>
              <w:t xml:space="preserve"> 1886.245-2016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饮用水用 聚氯化铝</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15892-</w:t>
            </w:r>
            <w:r>
              <w:rPr>
                <w:rFonts w:hint="eastAsia" w:ascii="Times New Roman" w:hAnsi="Times New Roman" w:cs="Times New Roman"/>
                <w:color w:val="000000"/>
                <w:sz w:val="30"/>
                <w:szCs w:val="30"/>
                <w:lang w:val="en-US" w:eastAsia="zh-CN"/>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食品添加剂 硫酸铝钾</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1886.229-2016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jc w:val="center"/>
              <w:textAlignment w:val="auto"/>
              <w:rPr>
                <w:sz w:val="30"/>
                <w:szCs w:val="30"/>
              </w:rPr>
            </w:pPr>
            <w:r>
              <w:rPr>
                <w:rFonts w:hint="default" w:ascii="Times New Roman" w:hAnsi="Times New Roman" w:cs="Times New Roman"/>
                <w:color w:val="000000"/>
                <w:sz w:val="30"/>
                <w:szCs w:val="30"/>
              </w:rPr>
              <w:t>无机化工中汞的测定</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原子荧光光谱法</w:t>
            </w:r>
          </w:p>
        </w:tc>
        <w:tc>
          <w:tcPr>
            <w:tcW w:w="2931" w:type="dxa"/>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GB/T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36384-2018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restart"/>
            <w:vAlign w:val="center"/>
          </w:tcPr>
          <w:p>
            <w:pPr>
              <w:pStyle w:val="8"/>
              <w:keepNext w:val="0"/>
              <w:keepLines w:val="0"/>
              <w:widowControl/>
              <w:suppressLineNumbers w:val="0"/>
              <w:ind w:left="0" w:leftChars="0" w:right="0" w:rightChars="0"/>
              <w:jc w:val="center"/>
              <w:rPr>
                <w:rFonts w:hint="eastAsia" w:cs="Lucida Sans Unicode" w:asciiTheme="minorHAnsi" w:hAnsiTheme="minorHAnsi" w:eastAsiaTheme="minorEastAsia"/>
                <w:color w:val="auto"/>
                <w:kern w:val="0"/>
                <w:sz w:val="30"/>
                <w:szCs w:val="30"/>
                <w:lang w:val="en-US" w:eastAsia="zh-CN" w:bidi="ar-SA"/>
              </w:rPr>
            </w:pPr>
            <w:r>
              <w:rPr>
                <w:rFonts w:hint="default" w:ascii="Times New Roman" w:hAnsi="Times New Roman" w:cs="Times New Roman"/>
                <w:color w:val="000000"/>
                <w:sz w:val="30"/>
                <w:szCs w:val="30"/>
              </w:rPr>
              <w:t>行业标准</w:t>
            </w: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工业硫酸铝</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2225-2018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水处理剂 聚氯化铁</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4672-2014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工业聚氯化铝</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2677-2017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工业结晶氯化铝</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3251-2018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水处理剂 聚氯化铝铁</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5359-2018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水处理剂 硫酸铝铁</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5</w:t>
            </w:r>
            <w:r>
              <w:rPr>
                <w:rFonts w:hint="eastAsia" w:ascii="Times New Roman" w:hAnsi="Times New Roman" w:cs="Times New Roman"/>
                <w:color w:val="000000"/>
                <w:sz w:val="30"/>
                <w:szCs w:val="30"/>
                <w:lang w:val="en-US" w:eastAsia="zh-CN"/>
              </w:rPr>
              <w:t>565</w:t>
            </w:r>
            <w:r>
              <w:rPr>
                <w:rFonts w:hint="default" w:ascii="Times New Roman" w:hAnsi="Times New Roman" w:cs="Times New Roman"/>
                <w:color w:val="000000"/>
                <w:sz w:val="30"/>
                <w:szCs w:val="30"/>
              </w:rPr>
              <w:t>-201</w:t>
            </w:r>
            <w:r>
              <w:rPr>
                <w:rFonts w:hint="eastAsia" w:ascii="Times New Roman" w:hAnsi="Times New Roman" w:cs="Times New Roman"/>
                <w:color w:val="000000"/>
                <w:sz w:val="30"/>
                <w:szCs w:val="3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水处理剂 氯化铝铁</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w:t>
            </w:r>
            <w:r>
              <w:rPr>
                <w:rFonts w:hint="eastAsia" w:ascii="Times New Roman" w:hAnsi="Times New Roman" w:cs="Times New Roman"/>
                <w:color w:val="000000"/>
                <w:sz w:val="30"/>
                <w:szCs w:val="30"/>
                <w:lang w:val="en-US" w:eastAsia="zh-CN"/>
              </w:rPr>
              <w:t xml:space="preserve"> </w:t>
            </w:r>
            <w:r>
              <w:rPr>
                <w:rFonts w:hint="default" w:ascii="Times New Roman" w:hAnsi="Times New Roman" w:cs="Times New Roman"/>
                <w:color w:val="000000"/>
                <w:sz w:val="30"/>
                <w:szCs w:val="30"/>
              </w:rPr>
              <w:t>5</w:t>
            </w:r>
            <w:r>
              <w:rPr>
                <w:rFonts w:hint="eastAsia" w:ascii="Times New Roman" w:hAnsi="Times New Roman" w:cs="Times New Roman"/>
                <w:color w:val="000000"/>
                <w:sz w:val="30"/>
                <w:szCs w:val="30"/>
                <w:lang w:val="en-US" w:eastAsia="zh-CN"/>
              </w:rPr>
              <w:t>566</w:t>
            </w:r>
            <w:r>
              <w:rPr>
                <w:rFonts w:hint="default" w:ascii="Times New Roman" w:hAnsi="Times New Roman" w:cs="Times New Roman"/>
                <w:color w:val="000000"/>
                <w:sz w:val="30"/>
                <w:szCs w:val="30"/>
              </w:rPr>
              <w:t>-201</w:t>
            </w:r>
            <w:r>
              <w:rPr>
                <w:rFonts w:hint="eastAsia" w:ascii="Times New Roman" w:hAnsi="Times New Roman" w:cs="Times New Roman"/>
                <w:color w:val="000000"/>
                <w:sz w:val="30"/>
                <w:szCs w:val="3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水处理剂 复合混凝剂</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 5698-2020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水处理剂 二氯异氰尿酸钠</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 3779-2020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jc w:val="center"/>
              <w:textAlignment w:val="auto"/>
              <w:rPr>
                <w:rFonts w:hint="eastAsia" w:ascii="Times New Roman" w:hAnsi="Times New Roman" w:cs="Times New Roman"/>
                <w:color w:val="000000"/>
                <w:sz w:val="30"/>
                <w:szCs w:val="30"/>
                <w:lang w:val="en-US" w:eastAsia="zh-CN"/>
              </w:rPr>
            </w:pPr>
            <w:r>
              <w:rPr>
                <w:rFonts w:hint="eastAsia" w:ascii="Times New Roman" w:hAnsi="Times New Roman" w:cs="Times New Roman"/>
                <w:color w:val="000000"/>
                <w:sz w:val="30"/>
                <w:szCs w:val="30"/>
                <w:lang w:val="en-US" w:eastAsia="zh-CN"/>
              </w:rPr>
              <w:t>化工园区混合</w:t>
            </w:r>
          </w:p>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废水处理技术规范</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eastAsia="zh-CN"/>
              </w:rPr>
              <w:t>HG/T 5821-2020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生化法处理废（污）水用碳源乙酸钠</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rPr>
              <w:t>HG/T 5959-2021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废（污）水处理用复合碳源</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rPr>
              <w:t>HG/T 5960-2021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eastAsiaTheme="minorEastAsia"/>
                <w:vertAlign w:val="baseline"/>
                <w:lang w:eastAsia="zh-CN"/>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水处理剂聚氯化铝废渣资源化处理技术规范</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default" w:ascii="Times New Roman" w:hAnsi="Times New Roman" w:cs="Times New Roman"/>
                <w:color w:val="000000"/>
                <w:sz w:val="30"/>
                <w:szCs w:val="30"/>
              </w:rPr>
              <w:t>HG/T 5961-2021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ascii="宋体" w:cs="Lucida Sans Unicode" w:hAnsiTheme="minorHAnsi" w:eastAsiaTheme="minorEastAsia"/>
                <w:color w:val="auto"/>
                <w:kern w:val="2"/>
                <w:sz w:val="30"/>
                <w:szCs w:val="30"/>
                <w:lang w:val="en-US" w:eastAsia="zh-CN" w:bidi="ar-SA"/>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水处理剂氯化亚铁</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HG/T 4538-2022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95" w:type="dxa"/>
            <w:vMerge w:val="continue"/>
            <w:vAlign w:val="center"/>
          </w:tcPr>
          <w:p>
            <w:pPr>
              <w:jc w:val="center"/>
              <w:rPr>
                <w:rFonts w:hint="eastAsia" w:ascii="宋体" w:cs="Lucida Sans Unicode" w:hAnsiTheme="minorHAnsi" w:eastAsiaTheme="minorEastAsia"/>
                <w:color w:val="auto"/>
                <w:kern w:val="2"/>
                <w:sz w:val="30"/>
                <w:szCs w:val="30"/>
                <w:lang w:val="en-US" w:eastAsia="zh-CN" w:bidi="ar-SA"/>
              </w:rPr>
            </w:pPr>
          </w:p>
        </w:tc>
        <w:tc>
          <w:tcPr>
            <w:tcW w:w="497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聚硫氯化铝</w:t>
            </w:r>
          </w:p>
        </w:tc>
        <w:tc>
          <w:tcPr>
            <w:tcW w:w="2931" w:type="dxa"/>
            <w:vAlign w:val="center"/>
          </w:tcPr>
          <w:p>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kern w:val="0"/>
                <w:sz w:val="30"/>
                <w:szCs w:val="30"/>
                <w:lang w:val="en-US" w:eastAsia="zh-CN" w:bidi="ar-SA"/>
              </w:rPr>
            </w:pPr>
            <w:r>
              <w:rPr>
                <w:rFonts w:hint="eastAsia" w:ascii="Times New Roman" w:hAnsi="Times New Roman" w:cs="Times New Roman"/>
                <w:color w:val="000000"/>
                <w:sz w:val="30"/>
                <w:szCs w:val="30"/>
                <w:lang w:val="en-US" w:eastAsia="zh-CN"/>
              </w:rPr>
              <w:t>HG/T 6073-2022</w:t>
            </w:r>
          </w:p>
        </w:tc>
      </w:tr>
    </w:tbl>
    <w:p>
      <w:pPr>
        <w:pStyle w:val="2"/>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sz w:val="32"/>
          <w:szCs w:val="18"/>
          <w:lang w:val="en-US" w:eastAsia="zh-CN"/>
        </w:rPr>
      </w:pPr>
      <w:bookmarkStart w:id="4" w:name="_Toc20717"/>
      <w:r>
        <w:rPr>
          <w:rFonts w:hint="default" w:ascii="Times New Roman" w:hAnsi="Times New Roman" w:cs="Times New Roman"/>
          <w:sz w:val="32"/>
          <w:szCs w:val="18"/>
          <w:lang w:val="en-US" w:eastAsia="zh-CN"/>
        </w:rPr>
        <w:t>二</w:t>
      </w:r>
      <w:r>
        <w:rPr>
          <w:rFonts w:hint="default" w:ascii="Times New Roman" w:hAnsi="Times New Roman" w:cs="Times New Roman"/>
          <w:sz w:val="32"/>
          <w:szCs w:val="18"/>
        </w:rPr>
        <w:t>、</w:t>
      </w:r>
      <w:r>
        <w:rPr>
          <w:rFonts w:hint="default" w:ascii="Times New Roman" w:hAnsi="Times New Roman" w:cs="Times New Roman"/>
          <w:sz w:val="32"/>
          <w:szCs w:val="18"/>
          <w:lang w:val="en-US" w:eastAsia="zh-CN"/>
        </w:rPr>
        <w:t>公司治理</w:t>
      </w:r>
      <w:bookmarkEnd w:id="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2023</w:t>
      </w:r>
      <w:r>
        <w:rPr>
          <w:rFonts w:hint="default" w:ascii="Times New Roman" w:hAnsi="Times New Roman" w:cs="Times New Roman" w:eastAsiaTheme="minorEastAsia"/>
          <w:sz w:val="28"/>
          <w:szCs w:val="28"/>
          <w:lang w:val="en-US" w:eastAsia="zh-CN"/>
        </w:rPr>
        <w:t>年，公司严格按照《公司法》</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val="en-US" w:eastAsia="zh-CN"/>
        </w:rPr>
        <w:t>《公司章程》的有关公司治理规范性文件的要求，并结合公司经营管理的需要和实际情况，完善公司法人治理结构，健全公司内控管理制度和业务流程</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val="en-US" w:eastAsia="zh-CN"/>
        </w:rPr>
        <w:t>提高公司规范运作水平。报告期内，公司股东大会、董事会、监事会和管理层等各职能部门均严格按照各项内控制度规范化运作，切实维护公司及全体股东的合法权益。充分发挥董事会的作用和潜能</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val="en-US" w:eastAsia="zh-CN"/>
        </w:rPr>
        <w:t>确保董事会在决策、监管过程中的独立地位</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val="en-US" w:eastAsia="zh-CN"/>
        </w:rPr>
        <w:t>强化监事会的权力</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val="en-US" w:eastAsia="zh-CN"/>
        </w:rPr>
        <w:t>确保监事会责、权、利的落实</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val="en-US" w:eastAsia="zh-CN"/>
        </w:rPr>
        <w:t>明确股东大会、董事会、监事会和高级管理人员之间的权责范围和工作程序。</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b/>
          <w:bCs/>
          <w:color w:val="auto"/>
          <w:sz w:val="28"/>
          <w:szCs w:val="28"/>
          <w:lang w:val="en-US" w:eastAsia="zh-CN"/>
        </w:rPr>
        <w:t>（一）</w:t>
      </w:r>
      <w:r>
        <w:rPr>
          <w:rFonts w:hint="default" w:ascii="Times New Roman" w:hAnsi="Times New Roman" w:cs="Times New Roman" w:eastAsiaTheme="minorEastAsia"/>
          <w:b/>
          <w:bCs/>
          <w:color w:val="auto"/>
          <w:sz w:val="28"/>
          <w:szCs w:val="28"/>
          <w:lang w:val="en-US" w:eastAsia="zh-CN"/>
        </w:rPr>
        <w:t>股东大会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股东大会是公司权力机构。公司建立了确保所有股东充分行使法律、行政法规和《公司章程》规定的合法权利的公司治理结构，股东按其持有的股份享有平等的权利，并承担相应的义务。公司确保股东对法律、行政法规和《公司章程》规定的重大事项均享有知情权和参与权，并建立和股东之间良好沟通的渠道。报告期内，公司严格按照《公司章程》和《股东大会议事规则》的相关规定召集、召开股东大会，并严格遵守表决事项和表决程序的有关规定，平等对待所有股东，确保中小股东与大股东享有平等地位，确保所有股东充分行使自己的权利，充分维护公司和股东的合法权益，并由律师出席见证股东大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（二）</w:t>
      </w:r>
      <w:r>
        <w:rPr>
          <w:rFonts w:hint="default" w:ascii="Times New Roman" w:hAnsi="Times New Roman" w:cs="Times New Roman" w:eastAsiaTheme="minorEastAsia"/>
          <w:b/>
          <w:bCs/>
          <w:sz w:val="28"/>
          <w:szCs w:val="28"/>
          <w:lang w:val="en-US" w:eastAsia="zh-CN"/>
        </w:rPr>
        <w:t>董事会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董事会是公司的决策机构，对股东大会负责。董事会下设提名委员会、薪酬与考核委员会、战略委员会、审计委员会，其中提名委员会、薪酬与考核委员会、审计委员会由独立董事担任主任委员。公司董事会各专业委员会严格按照各专业委员会工作细则履行职责，依法合规运作，为董事会科学决策发挥重要作用。报告期内，公司严格按照《公司法》、《公司章程》和《董事会议事规则》规定规范运作和科学决策，董事会的召开、议事程序符合相关规定。公司董事忠实、勤勉地履行职责，依法行使权利并履行义务，切实维护公司全体股东的利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（三）</w:t>
      </w:r>
      <w:r>
        <w:rPr>
          <w:rFonts w:hint="default" w:ascii="Times New Roman" w:hAnsi="Times New Roman" w:cs="Times New Roman" w:eastAsiaTheme="minorEastAsia"/>
          <w:b/>
          <w:bCs/>
          <w:sz w:val="28"/>
          <w:szCs w:val="28"/>
          <w:lang w:val="en-US" w:eastAsia="zh-CN"/>
        </w:rPr>
        <w:t>监事会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监事会是公司的监督机构，对公司股东大会负责。报告期内，监事会依据《监事会议事规则》的有关要求，本着对投资者负责的精神，认真履行职责，独立有效的对公司董事会以及董事、经理和其他高级管理人员履行职责的合法、合规性进行监督和检查，对公司生产经营、财务状况及重大事项进行检查。</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sz w:val="32"/>
          <w:szCs w:val="18"/>
          <w:lang w:val="en-US" w:eastAsia="zh-CN"/>
        </w:rPr>
      </w:pPr>
      <w:bookmarkStart w:id="5" w:name="_Toc4088"/>
      <w:r>
        <w:rPr>
          <w:rFonts w:hint="default" w:ascii="Times New Roman" w:hAnsi="Times New Roman" w:cs="Times New Roman"/>
          <w:sz w:val="32"/>
          <w:szCs w:val="18"/>
          <w:lang w:val="en-US" w:eastAsia="zh-CN"/>
        </w:rPr>
        <w:t>三、责任管理</w:t>
      </w:r>
      <w:bookmarkEnd w:id="5"/>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（一）责任理念</w:t>
      </w:r>
    </w:p>
    <w:p>
      <w:pPr>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“感恩社会、回报社会”是</w:t>
      </w:r>
      <w:r>
        <w:rPr>
          <w:rFonts w:hint="eastAsia" w:ascii="Times New Roman" w:hAnsi="Times New Roman" w:cs="Times New Roman"/>
          <w:sz w:val="28"/>
          <w:szCs w:val="28"/>
          <w:lang w:val="en-US" w:eastAsia="zh-CN"/>
        </w:rPr>
        <w:t>公司</w:t>
      </w:r>
      <w:r>
        <w:rPr>
          <w:rFonts w:hint="default" w:ascii="Times New Roman" w:hAnsi="Times New Roman" w:cs="Times New Roman"/>
          <w:sz w:val="28"/>
          <w:szCs w:val="28"/>
          <w:lang w:val="en-US" w:eastAsia="zh-CN"/>
        </w:rPr>
        <w:t>始终不渝的承诺。</w:t>
      </w:r>
      <w:r>
        <w:rPr>
          <w:rFonts w:hint="eastAsia" w:ascii="Times New Roman" w:hAnsi="Times New Roman" w:cs="Times New Roman"/>
          <w:color w:val="000000" w:themeColor="text1"/>
          <w:sz w:val="28"/>
          <w:szCs w:val="28"/>
          <w:lang w:val="en-US" w:eastAsia="zh-CN"/>
          <w14:textFill>
            <w14:solidFill>
              <w14:schemeClr w14:val="tx1"/>
            </w14:solidFill>
          </w14:textFill>
        </w:rPr>
        <w:t>2022</w:t>
      </w:r>
      <w:r>
        <w:rPr>
          <w:rFonts w:hint="default" w:ascii="Times New Roman" w:hAnsi="Times New Roman" w:cs="Times New Roman"/>
          <w:color w:val="000000" w:themeColor="text1"/>
          <w:sz w:val="28"/>
          <w:szCs w:val="28"/>
          <w:lang w:val="en-US" w:eastAsia="zh-CN"/>
          <w14:textFill>
            <w14:solidFill>
              <w14:schemeClr w14:val="tx1"/>
            </w14:solidFill>
          </w14:textFill>
        </w:rPr>
        <w:t>年，公司深入贯彻落实创新、协调、绿色、开放、共享五</w:t>
      </w:r>
      <w:r>
        <w:rPr>
          <w:rFonts w:hint="default" w:ascii="Times New Roman" w:hAnsi="Times New Roman" w:cs="Times New Roman"/>
          <w:sz w:val="28"/>
          <w:szCs w:val="28"/>
          <w:lang w:val="en-US" w:eastAsia="zh-CN"/>
        </w:rPr>
        <w:t>大发展理念，把社会责任融入到企业经营理念和发展战略中，在创造经济效益、保障股东利益的同时，积极维护员工的合法权益，诚信对待客户和供应商；强化环境保护意识，节约资源能耗；积极参与社会公益事业，切实履行社会责任。</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（二）责任治理</w:t>
      </w:r>
    </w:p>
    <w:p>
      <w:pPr>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公司社会责任工作的领导决策机构是</w:t>
      </w:r>
      <w:r>
        <w:rPr>
          <w:rFonts w:hint="default" w:ascii="Times New Roman" w:hAnsi="Times New Roman" w:cs="Times New Roman"/>
          <w:color w:val="auto"/>
          <w:sz w:val="28"/>
          <w:szCs w:val="28"/>
          <w:lang w:val="en-US" w:eastAsia="zh-CN"/>
        </w:rPr>
        <w:t>董事会</w:t>
      </w:r>
      <w:r>
        <w:rPr>
          <w:rFonts w:hint="default" w:ascii="Times New Roman" w:hAnsi="Times New Roman" w:cs="Times New Roman"/>
          <w:sz w:val="28"/>
          <w:szCs w:val="28"/>
          <w:lang w:val="en-US" w:eastAsia="zh-CN"/>
        </w:rPr>
        <w:t>；各子公司分设专职工作人员负责系统开展社会责任工作，并定期向公司上报社会责任信息；公司</w:t>
      </w:r>
      <w:r>
        <w:rPr>
          <w:rFonts w:hint="eastAsia" w:ascii="Times New Roman" w:hAnsi="Times New Roman" w:cs="Times New Roman"/>
          <w:sz w:val="28"/>
          <w:szCs w:val="28"/>
          <w:lang w:val="en-US" w:eastAsia="zh-CN"/>
        </w:rPr>
        <w:t>行政综合部、</w:t>
      </w:r>
      <w:r>
        <w:rPr>
          <w:rFonts w:hint="default" w:ascii="Times New Roman" w:hAnsi="Times New Roman" w:cs="Times New Roman"/>
          <w:sz w:val="28"/>
          <w:szCs w:val="28"/>
          <w:lang w:val="en-US" w:eastAsia="zh-CN"/>
        </w:rPr>
        <w:t>人力资源部等相关部门负责落实公司社会责任各方面工作；</w:t>
      </w:r>
      <w:r>
        <w:rPr>
          <w:rFonts w:hint="eastAsia" w:ascii="Times New Roman" w:hAnsi="Times New Roman" w:cs="Times New Roman"/>
          <w:sz w:val="28"/>
          <w:szCs w:val="28"/>
          <w:lang w:val="en-US" w:eastAsia="zh-CN"/>
        </w:rPr>
        <w:t>综合部</w:t>
      </w:r>
      <w:r>
        <w:rPr>
          <w:rFonts w:hint="default" w:ascii="Times New Roman" w:hAnsi="Times New Roman" w:cs="Times New Roman"/>
          <w:sz w:val="28"/>
          <w:szCs w:val="28"/>
          <w:lang w:val="en-US" w:eastAsia="zh-CN"/>
        </w:rPr>
        <w:t>负责公司社会责任信息的日常披露及相关咨询的回复。</w:t>
      </w:r>
      <w:r>
        <w:rPr>
          <w:rFonts w:hint="eastAsia" w:ascii="Times New Roman" w:hAnsi="Times New Roman" w:cs="Times New Roman"/>
          <w:color w:val="auto"/>
          <w:sz w:val="28"/>
          <w:szCs w:val="28"/>
          <w:lang w:val="en-US" w:eastAsia="zh-CN"/>
        </w:rPr>
        <w:t>2022</w:t>
      </w:r>
      <w:r>
        <w:rPr>
          <w:rFonts w:hint="default" w:ascii="Times New Roman" w:hAnsi="Times New Roman" w:cs="Times New Roman"/>
          <w:color w:val="auto"/>
          <w:sz w:val="28"/>
          <w:szCs w:val="28"/>
          <w:lang w:val="en-US" w:eastAsia="zh-CN"/>
        </w:rPr>
        <w:t>年</w:t>
      </w:r>
      <w:r>
        <w:rPr>
          <w:rFonts w:hint="default" w:ascii="Times New Roman" w:hAnsi="Times New Roman" w:cs="Times New Roman"/>
          <w:sz w:val="28"/>
          <w:szCs w:val="28"/>
          <w:lang w:val="en-US" w:eastAsia="zh-CN"/>
        </w:rPr>
        <w:t>，公司进一步完善了社会责任工作流程、职责分工和管理制度。</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（三）责任沟通</w:t>
      </w:r>
    </w:p>
    <w:p>
      <w:pPr>
        <w:spacing w:line="360" w:lineRule="auto"/>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表1  利益相关方诉求及回应措施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2799"/>
        <w:gridCol w:w="4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trPr>
        <w:tc>
          <w:tcPr>
            <w:tcW w:w="98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相关方</w:t>
            </w:r>
          </w:p>
        </w:tc>
        <w:tc>
          <w:tcPr>
            <w:tcW w:w="2799"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相关方诉求</w:t>
            </w:r>
          </w:p>
        </w:tc>
        <w:tc>
          <w:tcPr>
            <w:tcW w:w="474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回应措施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8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股东</w:t>
            </w:r>
          </w:p>
        </w:tc>
        <w:tc>
          <w:tcPr>
            <w:tcW w:w="2799"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良好的业绩表现及投资回报</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积极完整的信息披露</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畅通的投资者沟通机制</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rPr>
              <w:t>规范化的公司治理</w:t>
            </w:r>
          </w:p>
        </w:tc>
        <w:tc>
          <w:tcPr>
            <w:tcW w:w="474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持续合理的分红方案</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及时、准确披露公司公告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开展投资者交流会</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完善投资者热线及邮件、动态信息反馈机制</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rPr>
              <w:t>规范化公司治理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8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客户</w:t>
            </w:r>
          </w:p>
        </w:tc>
        <w:tc>
          <w:tcPr>
            <w:tcW w:w="2799"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保障消费者权益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优质的服务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质量与安全保障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经营能力提升</w:t>
            </w:r>
          </w:p>
        </w:tc>
        <w:tc>
          <w:tcPr>
            <w:tcW w:w="474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举办客户满意度调查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完备的质量保障体系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完善的信息交流机制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完整的售后服务系统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8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员工</w:t>
            </w:r>
          </w:p>
        </w:tc>
        <w:tc>
          <w:tcPr>
            <w:tcW w:w="2799"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权益保护</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个人发展</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身心健康</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民主管理</w:t>
            </w:r>
          </w:p>
        </w:tc>
        <w:tc>
          <w:tcPr>
            <w:tcW w:w="474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建立工会</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严格遵守《劳动法》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《合同法》等规定</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建立完整的培训机制和职业发展通道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员工问询调查及心理辅导</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安全生产</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办公环境改造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8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政府</w:t>
            </w:r>
          </w:p>
        </w:tc>
        <w:tc>
          <w:tcPr>
            <w:tcW w:w="2799"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合法经营</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依法纳税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政府与公众沟通桥梁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引领行业健康发展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促进社会就业</w:t>
            </w:r>
          </w:p>
        </w:tc>
        <w:tc>
          <w:tcPr>
            <w:tcW w:w="474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依法运营</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参与行业协作</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积极响应政府各项政策</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助力国家战略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8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供应商</w:t>
            </w:r>
          </w:p>
        </w:tc>
        <w:tc>
          <w:tcPr>
            <w:tcW w:w="2799"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诚信经营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生态化和谐发展 </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市场信息共享</w:t>
            </w:r>
          </w:p>
        </w:tc>
        <w:tc>
          <w:tcPr>
            <w:tcW w:w="474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绿色供应链管理</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规范化供应商管理</w:t>
            </w:r>
          </w:p>
          <w:p>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定期负责人交流</w:t>
            </w: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b/>
          <w:sz w:val="32"/>
          <w:szCs w:val="18"/>
          <w:lang w:val="en-US" w:eastAsia="zh-CN"/>
        </w:rPr>
      </w:pPr>
      <w:bookmarkStart w:id="6" w:name="_Toc22197"/>
      <w:r>
        <w:rPr>
          <w:rFonts w:hint="default" w:ascii="Times New Roman" w:hAnsi="Times New Roman" w:cs="Times New Roman"/>
          <w:b/>
          <w:sz w:val="32"/>
          <w:szCs w:val="18"/>
          <w:lang w:val="en-US" w:eastAsia="zh-CN"/>
        </w:rPr>
        <w:t>四、市场责任</w:t>
      </w:r>
      <w:bookmarkEnd w:id="6"/>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（一）股东权益</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认真履行信息披露义务，确保真实、准确、完整地披露信息，使投资者及时了解公司的经营状况和重大事项的进展情况。公司秉承公开、公平的原则，以积极、主动的态度，开展投资者关系管理工作，通过电话、邮件、传真等多种形式保持与机构投资者、中小股东和潜在投资者的良好沟通，不断改善沟通效果，不断提升投资者关系服务水平。</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color w:val="auto"/>
          <w:sz w:val="28"/>
          <w:szCs w:val="28"/>
          <w:lang w:val="en-US" w:eastAsia="zh-CN"/>
        </w:rPr>
        <w:t>公司</w:t>
      </w:r>
      <w:r>
        <w:rPr>
          <w:rFonts w:hint="default" w:ascii="Times New Roman" w:hAnsi="Times New Roman" w:cs="Times New Roman"/>
          <w:color w:val="auto"/>
          <w:sz w:val="28"/>
          <w:szCs w:val="28"/>
        </w:rPr>
        <w:t>注重投</w:t>
      </w:r>
      <w:r>
        <w:rPr>
          <w:rFonts w:hint="default" w:ascii="Times New Roman" w:hAnsi="Times New Roman" w:cs="Times New Roman"/>
          <w:sz w:val="28"/>
          <w:szCs w:val="28"/>
        </w:rPr>
        <w:t>资者关系维护，认真对待股东和投资者来访、咨询工作。多年坚持召开业绩说明会，注重定期报告披露后的投资者沟通，不断丰富投资者关系管理活动，切实做好中小投资者利益保护，注重于行业协会及媒体良好沟通，更精准把握投资者关注重点，认真听取各方对公司发展的建议和意见。公司充分尊重和维护债权人、客户、供应商及其他利益相关者的合法权益，共同推进公司健康、可持续发展。</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（二）供应者权益</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本着诚实守信、互惠互利、合法合规的交易原则，充分尊重并保护供应商和客户的合法权益，与供应商保持良好的合作关系，高度认同上下游知名企业推进可持续发展、践行社会责任方面的积极作为。对战略性合作供应商，公司建立了高层领导交流机制、互访机制，就双方合作领域、社会责任展开更加全面、更加深入的有益交流。</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公司注重供应链一体化建设，不断完善采购流程与机制，通过建立公开透明的竞争机制，为供应商提供参与公平竞争的平台。通过制</w:t>
      </w:r>
      <w:r>
        <w:rPr>
          <w:rFonts w:hint="default" w:ascii="Times New Roman" w:hAnsi="Times New Roman" w:cs="Times New Roman"/>
          <w:color w:val="auto"/>
          <w:sz w:val="28"/>
          <w:szCs w:val="28"/>
        </w:rPr>
        <w:t>订了《供应商管理制度》、《招标采购管理办法》等规章制度，建立</w:t>
      </w:r>
      <w:r>
        <w:rPr>
          <w:rFonts w:hint="default" w:ascii="Times New Roman" w:hAnsi="Times New Roman" w:cs="Times New Roman"/>
          <w:sz w:val="28"/>
          <w:szCs w:val="28"/>
        </w:rPr>
        <w:t>标准化的招标采购程序，与诚实互信的供应商共同成长。在货款支付过程中，严格按照合同条款约定履行支付等权利义务，得到广大供应商的一致好评。</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另一方面，公司不断完善公平、公正的供应商评估体系，与优质供应商保持长期稳定的合作关系。建立了由供应、质检、仓库、生产等多个部门组成的评估组，对供应商提供产品或服务的质量、信誉、交货期、价格、资信等多维度开展科学的综合评价。对优质供应商给予表彰以及政策倾斜，在采购数量上优先进行考虑，结合经营需要建立长期的战略合作伙伴关系。</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（三）消费者权益</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公司定期拜访客户，积极参加展会与客户见面，建立客户档案，了解客户需求，加强客户关系。建立顾客满意度调查表，快速响应客户投诉处理机制，提升客户对公司产品的满意度，加强售后服务的延续性。</w:t>
      </w:r>
    </w:p>
    <w:p>
      <w:pPr>
        <w:spacing w:line="360" w:lineRule="auto"/>
        <w:ind w:firstLine="560" w:firstLineChars="200"/>
        <w:rPr>
          <w:rFonts w:hint="default" w:ascii="Times New Roman" w:hAnsi="Times New Roman" w:cs="Times New Roman"/>
          <w:color w:val="FF0000"/>
          <w:sz w:val="28"/>
          <w:szCs w:val="28"/>
        </w:rPr>
      </w:pPr>
      <w:r>
        <w:rPr>
          <w:rFonts w:hint="default" w:ascii="Times New Roman" w:hAnsi="Times New Roman" w:cs="Times New Roman"/>
          <w:sz w:val="28"/>
          <w:szCs w:val="28"/>
        </w:rPr>
        <w:t>严格遵守并履行合同约定。公司在为顾客提供优质产品的同时，注重提升服务质量。</w:t>
      </w:r>
      <w:r>
        <w:rPr>
          <w:rFonts w:hint="default" w:ascii="Times New Roman" w:hAnsi="Times New Roman" w:cs="Times New Roman"/>
          <w:sz w:val="28"/>
          <w:szCs w:val="28"/>
          <w:lang w:eastAsia="zh-CN"/>
        </w:rPr>
        <w:t>公司</w:t>
      </w:r>
      <w:r>
        <w:rPr>
          <w:rFonts w:hint="default" w:ascii="Times New Roman" w:hAnsi="Times New Roman" w:cs="Times New Roman"/>
          <w:sz w:val="28"/>
          <w:szCs w:val="28"/>
        </w:rPr>
        <w:t>为保证客户对产品的认可，根据客户要求组织生产，</w:t>
      </w:r>
      <w:r>
        <w:rPr>
          <w:rFonts w:hint="default" w:ascii="Times New Roman" w:hAnsi="Times New Roman" w:cs="Times New Roman"/>
          <w:color w:val="000000" w:themeColor="text1"/>
          <w:sz w:val="28"/>
          <w:szCs w:val="28"/>
          <w14:textFill>
            <w14:solidFill>
              <w14:schemeClr w14:val="tx1"/>
            </w14:solidFill>
          </w14:textFill>
        </w:rPr>
        <w:t>实施样品寄送制度</w:t>
      </w:r>
      <w:r>
        <w:rPr>
          <w:rFonts w:hint="default" w:ascii="Times New Roman" w:hAnsi="Times New Roman" w:cs="Times New Roman"/>
          <w:sz w:val="28"/>
          <w:szCs w:val="28"/>
        </w:rPr>
        <w:t>，确保客户对本公司产品满意的条件下进行合作。每一次产品出货，质检部留样检测，确保产品合格后出货，保证了客户的基本利益。了解客户及潜在客户的需求，制定差异性销售及服务政策进行新市场开拓，致力于为客户提供超值服务</w:t>
      </w:r>
      <w:r>
        <w:rPr>
          <w:rFonts w:hint="default" w:ascii="Times New Roman" w:hAnsi="Times New Roman" w:cs="Times New Roman"/>
          <w:color w:val="FF0000"/>
          <w:sz w:val="28"/>
          <w:szCs w:val="28"/>
        </w:rPr>
        <w:t>。</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b/>
          <w:sz w:val="32"/>
          <w:szCs w:val="18"/>
          <w:lang w:val="en-US" w:eastAsia="zh-CN"/>
        </w:rPr>
      </w:pPr>
      <w:bookmarkStart w:id="7" w:name="_Toc25044"/>
      <w:r>
        <w:rPr>
          <w:rFonts w:hint="default" w:ascii="Times New Roman" w:hAnsi="Times New Roman" w:cs="Times New Roman"/>
          <w:b/>
          <w:sz w:val="32"/>
          <w:szCs w:val="18"/>
          <w:lang w:val="en-US" w:eastAsia="zh-CN"/>
        </w:rPr>
        <w:t>五、环境责任</w:t>
      </w:r>
      <w:bookmarkEnd w:id="7"/>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积极倡导企业与环境和谐相处的可持续发展理念，以调整产品结构，创新技术为主线，采取各种措施在业务经营和日常运作中做到节能、环保，努力减轻生产和经营活动中对环境产生的影响，实现生产经营与环境保护的协调发展。</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（一）绿色办公</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提倡“绿色办公”，带来显著效益。公司内部工作流程均以电子形式流转办公文档，充分节约用纸，保护资源。同时，大力采用电话或视频会议的形式代替传统的现场会议，有效节约差旅成本，减少资源消耗。对于日常办公用品等消费品，尽量选择包装简洁、便于回收利用的产品。</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严格执行节能措施。在办公场所，我们控制空调开启时间，提倡春秋两季不开空调，夏季室内空调设置不低于26℃，冬季设置不高于2</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℃，下班前半小时提早关闭空调。我们号召员工下班或不使用时，及时关闭计算机、复印机等办公电器的电源</w:t>
      </w:r>
      <w:r>
        <w:rPr>
          <w:rFonts w:hint="default" w:ascii="Times New Roman" w:hAnsi="Times New Roman" w:cs="Times New Roman"/>
          <w:sz w:val="28"/>
          <w:szCs w:val="28"/>
          <w:lang w:eastAsia="zh-CN"/>
        </w:rPr>
        <w:t>。</w:t>
      </w:r>
      <w:r>
        <w:rPr>
          <w:rFonts w:hint="default" w:ascii="Times New Roman" w:hAnsi="Times New Roman" w:cs="Times New Roman"/>
          <w:sz w:val="28"/>
          <w:szCs w:val="28"/>
        </w:rPr>
        <w:t>尽可能减少用水量，定期对用水设备进行检修，杜绝“跑冒滴漏”等任何形式的浪费。</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公司积极组织员工参与各类节能类活动,广泛开展节能宣传,提高员工节约能源资源意识,营造了崇尚节约、绿色低碳的浓厚氛围。</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（二）绿色生产</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公司全面推行</w:t>
      </w:r>
      <w:r>
        <w:rPr>
          <w:rFonts w:hint="default" w:ascii="Times New Roman" w:hAnsi="Times New Roman" w:cs="Times New Roman"/>
          <w:sz w:val="28"/>
          <w:szCs w:val="28"/>
          <w:lang w:eastAsia="zh-CN"/>
        </w:rPr>
        <w:t>绿色</w:t>
      </w:r>
      <w:r>
        <w:rPr>
          <w:rFonts w:hint="default" w:ascii="Times New Roman" w:hAnsi="Times New Roman" w:cs="Times New Roman"/>
          <w:sz w:val="28"/>
          <w:szCs w:val="28"/>
        </w:rPr>
        <w:t>生产，以节能、降耗、减污</w:t>
      </w:r>
      <w:r>
        <w:rPr>
          <w:rFonts w:hint="default" w:ascii="Times New Roman" w:hAnsi="Times New Roman" w:cs="Times New Roman"/>
          <w:sz w:val="28"/>
          <w:szCs w:val="28"/>
          <w:lang w:eastAsia="zh-CN"/>
        </w:rPr>
        <w:t>、增效</w:t>
      </w:r>
      <w:r>
        <w:rPr>
          <w:rFonts w:hint="default" w:ascii="Times New Roman" w:hAnsi="Times New Roman" w:cs="Times New Roman"/>
          <w:sz w:val="28"/>
          <w:szCs w:val="28"/>
        </w:rPr>
        <w:t>为目标，以管理和技术为手段，实施工业生产全过程污染控制，努力使污染物的产生量最少化。</w:t>
      </w:r>
    </w:p>
    <w:p>
      <w:pPr>
        <w:spacing w:line="360" w:lineRule="auto"/>
        <w:ind w:firstLine="562" w:firstLineChars="200"/>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1、倡导绿色理念</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公司以“清洁生产</w:t>
      </w:r>
      <w:r>
        <w:rPr>
          <w:rFonts w:hint="default" w:ascii="Times New Roman" w:hAnsi="Times New Roman" w:cs="Times New Roman"/>
          <w:sz w:val="28"/>
          <w:szCs w:val="28"/>
          <w:lang w:eastAsia="zh-CN"/>
        </w:rPr>
        <w:t>，</w:t>
      </w:r>
      <w:r>
        <w:rPr>
          <w:rFonts w:hint="default" w:ascii="Times New Roman" w:hAnsi="Times New Roman" w:cs="Times New Roman"/>
          <w:sz w:val="28"/>
          <w:szCs w:val="28"/>
        </w:rPr>
        <w:t>预防污染</w:t>
      </w:r>
      <w:r>
        <w:rPr>
          <w:rFonts w:hint="default" w:ascii="Times New Roman" w:hAnsi="Times New Roman" w:cs="Times New Roman"/>
          <w:sz w:val="28"/>
          <w:szCs w:val="28"/>
          <w:lang w:eastAsia="zh-CN"/>
        </w:rPr>
        <w:t>，</w:t>
      </w:r>
      <w:r>
        <w:rPr>
          <w:rFonts w:hint="default" w:ascii="Times New Roman" w:hAnsi="Times New Roman" w:cs="Times New Roman"/>
          <w:sz w:val="28"/>
          <w:szCs w:val="28"/>
        </w:rPr>
        <w:t>节约资源，实现可持续发展”为方针，持续推进清洁生产，通过转型升级，加强源头管理、过程控制、末端治理，减少“三废”排放</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努力减轻生产活动对环境产生的影响，实现生产经营与环境保护的协调发展。</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我们注重向员工普及低碳和环保的理念</w:t>
      </w:r>
      <w:r>
        <w:rPr>
          <w:rFonts w:hint="default" w:ascii="Times New Roman" w:hAnsi="Times New Roman" w:cs="Times New Roman"/>
          <w:sz w:val="28"/>
          <w:szCs w:val="28"/>
          <w:lang w:eastAsia="zh-CN"/>
        </w:rPr>
        <w:t>，</w:t>
      </w:r>
      <w:r>
        <w:rPr>
          <w:rFonts w:hint="default" w:ascii="Times New Roman" w:hAnsi="Times New Roman" w:cs="Times New Roman"/>
          <w:sz w:val="28"/>
          <w:szCs w:val="28"/>
        </w:rPr>
        <w:t>积极开展节能和环保法律法规、能源管理、能源环保统计信息系统、应对气候变化等方面的培训，提升员工环保意识。此外，我们借助“4.22”地球日、“6.5"世界环境日、“节能宣传周和低碳日”等活动，利用条幅、板报、报纸、宣传手册、公司电子宣传屏、内部网络、微信等平台</w:t>
      </w:r>
      <w:r>
        <w:rPr>
          <w:rFonts w:hint="default" w:ascii="Times New Roman" w:hAnsi="Times New Roman" w:cs="Times New Roman"/>
          <w:sz w:val="28"/>
          <w:szCs w:val="28"/>
          <w:lang w:eastAsia="zh-CN"/>
        </w:rPr>
        <w:t>，</w:t>
      </w:r>
      <w:r>
        <w:rPr>
          <w:rFonts w:hint="default" w:ascii="Times New Roman" w:hAnsi="Times New Roman" w:cs="Times New Roman"/>
          <w:sz w:val="28"/>
          <w:szCs w:val="28"/>
        </w:rPr>
        <w:t>组织全体员工开展</w:t>
      </w:r>
      <w:r>
        <w:rPr>
          <w:rFonts w:hint="default" w:ascii="Times New Roman" w:hAnsi="Times New Roman" w:cs="Times New Roman"/>
          <w:sz w:val="28"/>
          <w:szCs w:val="28"/>
          <w:lang w:eastAsia="zh-CN"/>
        </w:rPr>
        <w:t>一</w:t>
      </w:r>
      <w:r>
        <w:rPr>
          <w:rFonts w:hint="default" w:ascii="Times New Roman" w:hAnsi="Times New Roman" w:cs="Times New Roman"/>
          <w:sz w:val="28"/>
          <w:szCs w:val="28"/>
        </w:rPr>
        <w:t>系列形式多样的节能减排宣传教育活动。</w:t>
      </w:r>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2、建立健全管理体系</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en-US" w:eastAsia="zh-CN"/>
        </w:rPr>
        <w:t>公司</w:t>
      </w:r>
      <w:r>
        <w:rPr>
          <w:rFonts w:hint="default" w:ascii="Times New Roman" w:hAnsi="Times New Roman" w:cs="Times New Roman"/>
          <w:sz w:val="28"/>
          <w:szCs w:val="28"/>
        </w:rPr>
        <w:t>持续开展ISO14001环境管理</w:t>
      </w:r>
      <w:r>
        <w:rPr>
          <w:rFonts w:hint="default" w:ascii="Times New Roman" w:hAnsi="Times New Roman" w:cs="Times New Roman"/>
          <w:sz w:val="28"/>
          <w:szCs w:val="28"/>
          <w:lang w:eastAsia="zh-CN"/>
        </w:rPr>
        <w:t>体系</w:t>
      </w:r>
      <w:r>
        <w:rPr>
          <w:rFonts w:hint="default" w:ascii="Times New Roman" w:hAnsi="Times New Roman" w:cs="Times New Roman"/>
          <w:sz w:val="28"/>
          <w:szCs w:val="28"/>
        </w:rPr>
        <w:t>标准、ISO</w:t>
      </w:r>
      <w:r>
        <w:rPr>
          <w:rFonts w:hint="default" w:ascii="Times New Roman" w:hAnsi="Times New Roman" w:cs="Times New Roman"/>
          <w:sz w:val="28"/>
          <w:szCs w:val="28"/>
          <w:lang w:val="en-US" w:eastAsia="zh-CN"/>
        </w:rPr>
        <w:t>45001</w:t>
      </w:r>
      <w:r>
        <w:rPr>
          <w:rFonts w:hint="default" w:ascii="Times New Roman" w:hAnsi="Times New Roman" w:cs="Times New Roman"/>
          <w:sz w:val="28"/>
          <w:szCs w:val="28"/>
        </w:rPr>
        <w:t>职业健康安全管理体系和安全管理标准化体系</w:t>
      </w:r>
      <w:r>
        <w:rPr>
          <w:rFonts w:hint="default" w:ascii="Times New Roman" w:hAnsi="Times New Roman" w:cs="Times New Roman"/>
          <w:sz w:val="28"/>
          <w:szCs w:val="28"/>
          <w:lang w:eastAsia="zh-CN"/>
        </w:rPr>
        <w:t>建设，</w:t>
      </w:r>
      <w:r>
        <w:rPr>
          <w:rFonts w:hint="default" w:ascii="Times New Roman" w:hAnsi="Times New Roman" w:cs="Times New Roman"/>
          <w:sz w:val="28"/>
          <w:szCs w:val="28"/>
        </w:rPr>
        <w:t>通过不断完善各项管理体系和</w:t>
      </w:r>
      <w:r>
        <w:rPr>
          <w:rFonts w:hint="default" w:ascii="Times New Roman" w:hAnsi="Times New Roman" w:cs="Times New Roman"/>
          <w:sz w:val="28"/>
          <w:szCs w:val="28"/>
          <w:lang w:eastAsia="zh-CN"/>
        </w:rPr>
        <w:t>安全</w:t>
      </w:r>
      <w:r>
        <w:rPr>
          <w:rFonts w:hint="default" w:ascii="Times New Roman" w:hAnsi="Times New Roman" w:cs="Times New Roman"/>
          <w:sz w:val="28"/>
          <w:szCs w:val="28"/>
        </w:rPr>
        <w:t>环保风险管理制度，结合实际情况加强落实安全、环保、综合管理目标责任制，强化对环境治理、生产作业现场的运行监管力度，确保管理制度的有效运行。</w:t>
      </w:r>
      <w:r>
        <w:rPr>
          <w:rFonts w:hint="default" w:ascii="Times New Roman" w:hAnsi="Times New Roman" w:cs="Times New Roman"/>
          <w:color w:val="000000" w:themeColor="text1"/>
          <w:sz w:val="28"/>
          <w:szCs w:val="28"/>
          <w:lang w:val="en-US" w:eastAsia="zh-CN"/>
          <w14:textFill>
            <w14:solidFill>
              <w14:schemeClr w14:val="tx1"/>
            </w14:solidFill>
          </w14:textFill>
        </w:rPr>
        <w:t>202</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年</w:t>
      </w:r>
      <w:r>
        <w:rPr>
          <w:rFonts w:hint="default" w:ascii="Times New Roman" w:hAnsi="Times New Roman" w:cs="Times New Roman"/>
          <w:sz w:val="28"/>
          <w:szCs w:val="28"/>
          <w:lang w:val="en-US" w:eastAsia="zh-CN"/>
        </w:rPr>
        <w:t>全年公司污染物实现达标排放，无环境污染和安全事故发生。</w:t>
      </w:r>
    </w:p>
    <w:p>
      <w:pPr>
        <w:spacing w:line="360" w:lineRule="auto"/>
        <w:ind w:firstLine="562" w:firstLineChars="200"/>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3、持续开展节能减排</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kern w:val="2"/>
          <w:sz w:val="28"/>
          <w:szCs w:val="28"/>
          <w:lang w:val="en-US" w:eastAsia="zh-CN" w:bidi="ar-SA"/>
        </w:rPr>
        <w:t>（1）</w:t>
      </w:r>
      <w:r>
        <w:rPr>
          <w:rFonts w:hint="default" w:ascii="Times New Roman" w:hAnsi="Times New Roman" w:cs="Times New Roman" w:eastAsiaTheme="minorEastAsia"/>
          <w:kern w:val="2"/>
          <w:sz w:val="28"/>
          <w:szCs w:val="28"/>
          <w:lang w:val="en-US" w:eastAsia="zh-CN" w:bidi="ar-SA"/>
        </w:rPr>
        <w:t>照明节能改造</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公司大力推广绿色照明，使用节能照明灯具，降低照明能耗。公司从20</w:t>
      </w:r>
      <w:r>
        <w:rPr>
          <w:rFonts w:hint="eastAsia" w:ascii="Times New Roman" w:hAnsi="Times New Roman" w:cs="Times New Roman" w:eastAsiaTheme="minorEastAsia"/>
          <w:kern w:val="2"/>
          <w:sz w:val="28"/>
          <w:szCs w:val="28"/>
          <w:lang w:val="en-US" w:eastAsia="zh-CN" w:bidi="ar-SA"/>
        </w:rPr>
        <w:t>15</w:t>
      </w:r>
      <w:r>
        <w:rPr>
          <w:rFonts w:hint="default" w:ascii="Times New Roman" w:hAnsi="Times New Roman" w:cs="Times New Roman" w:eastAsiaTheme="minorEastAsia"/>
          <w:kern w:val="2"/>
          <w:sz w:val="28"/>
          <w:szCs w:val="28"/>
          <w:lang w:val="en-US" w:eastAsia="zh-CN" w:bidi="ar-SA"/>
        </w:rPr>
        <w:t>年开始通过自然淘汰和改造相结合的方式对照明设备进行更新换代，在满足生产生活要求的前提下，逐步将传统荧光灯等取消，使用更高能效的LED灯等节能灯进行替代节电率达30%。目前，厂房和办公楼等区域基本使用了LED灯、节能荧光灯等节能灯具，节能灯具使用率基本达到90%以上。</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kern w:val="2"/>
          <w:sz w:val="28"/>
          <w:szCs w:val="28"/>
          <w:lang w:val="en-US" w:eastAsia="zh-CN" w:bidi="ar-SA"/>
        </w:rPr>
        <w:t>（2）</w:t>
      </w:r>
      <w:r>
        <w:rPr>
          <w:rFonts w:hint="default" w:ascii="Times New Roman" w:hAnsi="Times New Roman" w:cs="Times New Roman" w:eastAsiaTheme="minorEastAsia"/>
          <w:kern w:val="2"/>
          <w:sz w:val="28"/>
          <w:szCs w:val="28"/>
          <w:lang w:val="en-US" w:eastAsia="zh-CN" w:bidi="ar-SA"/>
        </w:rPr>
        <w:t>设备更新及节能改造</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公司不断进行设备更新及节能改造，硫酸铝车间搪瓷反应釜改造，蒸汽消耗量减少680m3，</w:t>
      </w:r>
      <w:r>
        <w:rPr>
          <w:rFonts w:hint="default" w:ascii="Times New Roman" w:hAnsi="Times New Roman" w:cs="Times New Roman" w:eastAsiaTheme="minorEastAsia"/>
          <w:kern w:val="2"/>
          <w:sz w:val="28"/>
          <w:szCs w:val="28"/>
          <w:lang w:val="en-US" w:eastAsia="zh-CN" w:bidi="ar-SA"/>
        </w:rPr>
        <w:t>产品得率提高3%</w:t>
      </w:r>
      <w:r>
        <w:rPr>
          <w:rFonts w:hint="eastAsia" w:ascii="Times New Roman" w:hAnsi="Times New Roman" w:cs="Times New Roman" w:eastAsiaTheme="minorEastAsia"/>
          <w:kern w:val="2"/>
          <w:sz w:val="28"/>
          <w:szCs w:val="28"/>
          <w:lang w:val="en-US" w:eastAsia="zh-CN" w:bidi="ar-SA"/>
        </w:rPr>
        <w:t>；硫酸铝压滤机设备改造，提高设备压滤效果，减少设备能耗；明矾车间结晶池改造方案，减少物料损耗提高产品一次性成品率。</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kern w:val="2"/>
          <w:sz w:val="28"/>
          <w:szCs w:val="28"/>
          <w:lang w:val="en-US" w:eastAsia="zh-CN" w:bidi="ar-SA"/>
        </w:rPr>
        <w:t>（3）</w:t>
      </w:r>
      <w:r>
        <w:rPr>
          <w:rFonts w:hint="default" w:ascii="Times New Roman" w:hAnsi="Times New Roman" w:cs="Times New Roman" w:eastAsiaTheme="minorEastAsia"/>
          <w:kern w:val="2"/>
          <w:sz w:val="28"/>
          <w:szCs w:val="28"/>
          <w:lang w:val="en-US" w:eastAsia="zh-CN" w:bidi="ar-SA"/>
        </w:rPr>
        <w:t>工艺升级改造</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采用自主研发的工艺技术生产铝铁盐，综合利用园区建滔化工、盛亚化工等企业的副产品盐酸，恒光化工的副产品硫酸，有效延伸园区的产业链，推动园区循环经济良性发展。</w:t>
      </w:r>
    </w:p>
    <w:p>
      <w:pPr>
        <w:pStyle w:val="15"/>
        <w:widowControl/>
        <w:snapToGrid w:val="0"/>
        <w:spacing w:line="360" w:lineRule="auto"/>
        <w:ind w:firstLine="480"/>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kern w:val="2"/>
          <w:sz w:val="28"/>
          <w:szCs w:val="28"/>
          <w:lang w:val="en-US" w:eastAsia="zh-CN" w:bidi="ar-SA"/>
        </w:rPr>
        <w:t>（4）</w:t>
      </w:r>
      <w:r>
        <w:rPr>
          <w:rFonts w:hint="eastAsia" w:ascii="Times New Roman" w:hAnsi="Times New Roman" w:cs="Times New Roman" w:eastAsiaTheme="minorEastAsia"/>
          <w:kern w:val="2"/>
          <w:sz w:val="28"/>
          <w:szCs w:val="28"/>
          <w:lang w:val="en-US" w:eastAsia="zh-CN" w:bidi="ar-SA"/>
        </w:rPr>
        <w:t>原料减量及替代</w:t>
      </w:r>
    </w:p>
    <w:p>
      <w:pPr>
        <w:pStyle w:val="15"/>
        <w:widowControl/>
        <w:snapToGrid w:val="0"/>
        <w:spacing w:line="360" w:lineRule="auto"/>
        <w:ind w:firstLine="480"/>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采用氢氧化铝替代铝土矿生产硫酸铝和明矾，利用浓硫酸的稀释热完成其反应过程，通过控制反应物料的比例，让反应后的物料不需使用蒸汽加热浓缩，就可直接进行结晶，每吨产品可节约蒸汽1.2吨左右；</w:t>
      </w:r>
    </w:p>
    <w:p>
      <w:pPr>
        <w:pStyle w:val="15"/>
        <w:widowControl/>
        <w:snapToGrid w:val="0"/>
        <w:spacing w:line="360" w:lineRule="auto"/>
        <w:ind w:firstLine="480"/>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充分利用聚氯化铝喷雾干燥过程中的烟气及废气余热生产，即把燃烧的烟气通过除尘后，与加热的空气混合一起送入喷雾干燥塔内干燥产品，同时利用从干燥塔内出来后的尾气加热干燥前的液体产品，从而大幅提高热能利用率和生产效率。与传统的间接喷雾干燥装置相比，单位产品能耗降低30％左右，产能提高20％以上；全年可节约标煤2000t；</w:t>
      </w:r>
    </w:p>
    <w:p>
      <w:pPr>
        <w:pStyle w:val="15"/>
        <w:widowControl/>
        <w:snapToGrid w:val="0"/>
        <w:spacing w:line="360" w:lineRule="auto"/>
        <w:ind w:firstLine="480"/>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回收利用聚氯化铝滚筒干燥的余热蒸汽。把从滚筒干燥机加热后出来的余热蒸汽进行汽水分离，让分离后的蒸汽送到聚氯化铝反应釜中加热；分离后的热水作为聚氯化铝反应配料使用。年节约蒸汽约26000t;</w:t>
      </w:r>
    </w:p>
    <w:p>
      <w:pPr>
        <w:pStyle w:val="15"/>
        <w:widowControl/>
        <w:snapToGrid w:val="0"/>
        <w:spacing w:line="360" w:lineRule="auto"/>
        <w:ind w:firstLine="480"/>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2021年投资360余万元，对20吨蒸汽锅炉进行技术改造，用生物质燃料替代烟煤。</w:t>
      </w:r>
    </w:p>
    <w:p>
      <w:pPr>
        <w:pStyle w:val="15"/>
        <w:widowControl/>
        <w:snapToGrid w:val="0"/>
        <w:spacing w:line="360" w:lineRule="auto"/>
        <w:ind w:firstLine="480"/>
        <w:rPr>
          <w:rFonts w:hint="default" w:ascii="Times New Roman" w:hAnsi="Times New Roman" w:cs="Times New Roman"/>
          <w:sz w:val="28"/>
          <w:szCs w:val="28"/>
        </w:rPr>
      </w:pPr>
      <w:r>
        <w:rPr>
          <w:rFonts w:hint="eastAsia" w:ascii="Times New Roman" w:hAnsi="Times New Roman" w:cs="Times New Roman" w:eastAsiaTheme="minorEastAsia"/>
          <w:kern w:val="2"/>
          <w:sz w:val="28"/>
          <w:szCs w:val="28"/>
          <w:lang w:val="en-US" w:eastAsia="zh-CN" w:bidi="ar-SA"/>
        </w:rPr>
        <w:t>采用氢氧化铝及铝厂的锅疤料代替铝土矿、铝矾土生产铝盐系列产品，大幅减少生产过程中的能耗及废渣。</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4、生产废水零排放</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（1）、建立雨水回收利用系统</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建立雨污分流系统，对地表雨水通过建立沉沙池进行沉淀后统一流入自建</w:t>
      </w:r>
      <w:r>
        <w:rPr>
          <w:rFonts w:hint="eastAsia" w:ascii="宋体" w:hAnsi="宋体" w:eastAsia="宋体" w:cs="宋体"/>
          <w:color w:val="auto"/>
          <w:kern w:val="0"/>
          <w:sz w:val="28"/>
          <w:szCs w:val="28"/>
          <w:highlight w:val="none"/>
        </w:rPr>
        <w:t>雨水集中收集池塘</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sz w:val="28"/>
          <w:szCs w:val="28"/>
          <w:highlight w:val="none"/>
          <w:lang w:val="en-US" w:eastAsia="zh-CN"/>
        </w:rPr>
        <w:t>水池里水可用于生产循环用水。同时，在自建水池旁建立了一套污泥脱水设备，将原生产用水及生活用水过滤器排放的污泥水进行处理后，清水排入自建蓄水池，用于生产循环用水，泥饼用于生产原材料，做到零浪费。</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（2）、工业废水综合利用</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对企业生产过程中的压滤液、清洗水全部回用至工艺初期中合及析出铝土矿，对周边化工厂的含酸废水进行回收，实现了资源综合利用，有效降低原材料硫酸的消耗，同时降低了公司生产成本。</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（3）、蒸汽冷凝水回用</w:t>
      </w:r>
    </w:p>
    <w:p>
      <w:pPr>
        <w:pStyle w:val="15"/>
        <w:widowControl/>
        <w:snapToGrid w:val="0"/>
        <w:spacing w:line="360" w:lineRule="auto"/>
        <w:ind w:firstLine="4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公司蒸汽为生产线余热锅炉生产的蒸汽。余热锅炉蒸汽为过热蒸汽，经汽轮发电机组发电后再降温降压成饱和蒸汽（表压力0.4~0.5MPa，温度约150℃），部分蒸汽直接进入生产线直接作为原料用水，部分蒸汽产生蒸汽冷凝水返回锅炉，扣除部分疏水等蒸汽冷凝水损耗外，蒸汽冷凝水回用率可达到60%以上。</w:t>
      </w:r>
    </w:p>
    <w:p>
      <w:pPr>
        <w:pStyle w:val="15"/>
        <w:widowControl/>
        <w:numPr>
          <w:ilvl w:val="0"/>
          <w:numId w:val="0"/>
        </w:numPr>
        <w:snapToGrid w:val="0"/>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5、生产废渣零填埋</w:t>
      </w:r>
    </w:p>
    <w:p>
      <w:pPr>
        <w:pStyle w:val="15"/>
        <w:widowControl/>
        <w:numPr>
          <w:ilvl w:val="0"/>
          <w:numId w:val="0"/>
        </w:numPr>
        <w:snapToGrid w:val="0"/>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铝土矿等经处理后产生的生产废渣经压渣脱氮脱水处理后，由当地建材厂、水泥厂回收做为原材料，生物质燃料、煤燃烧后产生的废渣也由当地建材公司回收，实现了生产废渣零排放。</w:t>
      </w:r>
    </w:p>
    <w:p>
      <w:pPr>
        <w:pStyle w:val="15"/>
        <w:widowControl/>
        <w:numPr>
          <w:ilvl w:val="0"/>
          <w:numId w:val="0"/>
        </w:numPr>
        <w:snapToGrid w:val="0"/>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6、废气实现超低排放</w:t>
      </w:r>
    </w:p>
    <w:p>
      <w:pPr>
        <w:pStyle w:val="15"/>
        <w:widowControl/>
        <w:numPr>
          <w:ilvl w:val="0"/>
          <w:numId w:val="0"/>
        </w:numPr>
        <w:snapToGrid w:val="0"/>
        <w:spacing w:line="360" w:lineRule="auto"/>
        <w:ind w:firstLine="560" w:firstLineChars="200"/>
        <w:rPr>
          <w:rFonts w:hint="default" w:ascii="Times New Roman" w:hAnsi="Times New Roman" w:cs="Times New Roman"/>
          <w:sz w:val="28"/>
          <w:szCs w:val="28"/>
          <w:lang w:val="en-US" w:eastAsia="zh-CN"/>
        </w:rPr>
      </w:pPr>
      <w:r>
        <w:rPr>
          <w:rFonts w:hint="eastAsia" w:ascii="宋体" w:hAnsi="宋体" w:eastAsia="宋体" w:cs="宋体"/>
          <w:color w:val="auto"/>
          <w:sz w:val="28"/>
          <w:szCs w:val="28"/>
          <w:highlight w:val="none"/>
          <w:lang w:val="en-US" w:eastAsia="zh-CN"/>
        </w:rPr>
        <w:t>新老聚氯化铝车间反应工序产生的含氯化氢的废气采用一级水洗+二级碱洗的工艺处理、反应尾气处理装置各增加一套碱洗喷淋装置、沉降、压滤、溶液储槽无组织排放废气经收集后处理后排放；聚合硫酸铁热风炉和明矾烘烤炉废气采用两级碱洗喷淋脱硫除尘的工艺处理，尾气再经碱洗喷淋脱硫除尘处理后排放；硫酸铝车间反应工序产生的含硫酸雾的废气采用水冷+碱洗的工艺处理、反应尾气采用碱洗喷淋处理后排放；生产工序及盐酸储罐产生的无组织废气采用密闭+集气罩收集+管道输送+碱洗的工艺处理，呼吸阀排放的废气用管道收集送到碱洗喷淋设施处理变成有组织达标排放。聚合硫酸铁热风炉和聚氯化铝热风炉各装一套烟气在线检测装置。</w:t>
      </w:r>
      <w:r>
        <w:rPr>
          <w:rFonts w:hint="eastAsia" w:ascii="宋体" w:hAnsi="宋体" w:eastAsia="宋体" w:cs="宋体"/>
          <w:kern w:val="2"/>
          <w:sz w:val="28"/>
          <w:szCs w:val="28"/>
          <w:lang w:val="en-US" w:eastAsia="zh-CN"/>
        </w:rPr>
        <w:t>公司有组织排放废气的污染物均实现超低排放，其中聚氯化铝反应及滚筒干燥工序废气氯化氢排放浓度小于5mg/m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（国家标准20mg/m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），硫酸铝及明矾反应工序废气硫酸雾排放浓度小于10mg/m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（国家标准20mg/m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），聚合硫酸铁热风炉和明矾烘烤炉废气二氧化硫排放浓度小于100mg/m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（国家标准400mg/m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），聚氯化铝热风炉废气二氧化硫排放浓度小于50mg/m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（国家标准100mg/m</w:t>
      </w:r>
      <w:r>
        <w:rPr>
          <w:rFonts w:hint="eastAsia" w:ascii="宋体" w:hAnsi="宋体" w:eastAsia="宋体" w:cs="宋体"/>
          <w:kern w:val="2"/>
          <w:sz w:val="28"/>
          <w:szCs w:val="28"/>
          <w:vertAlign w:val="superscript"/>
          <w:lang w:val="en-US" w:eastAsia="zh-CN"/>
        </w:rPr>
        <w:t>3</w:t>
      </w:r>
      <w:r>
        <w:rPr>
          <w:rFonts w:hint="eastAsia" w:ascii="宋体" w:hAnsi="宋体" w:eastAsia="宋体" w:cs="宋体"/>
          <w:kern w:val="2"/>
          <w:sz w:val="28"/>
          <w:szCs w:val="28"/>
          <w:lang w:val="en-US" w:eastAsia="zh-CN"/>
        </w:rPr>
        <w:t>）；无组织排放的废气、粉尘全部通过密闭及集气罩等方式收集，再用管道送碱洗塔及水洗塔处理达标后变成有组织排放。大幅减少各种污染物的排放量，同时通过安装在线监测设施，对排放的污染物实现实时监测和管控。</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b/>
          <w:sz w:val="32"/>
          <w:szCs w:val="18"/>
          <w:lang w:val="en-US" w:eastAsia="zh-CN"/>
        </w:rPr>
      </w:pPr>
      <w:bookmarkStart w:id="8" w:name="_Toc8612"/>
      <w:r>
        <w:rPr>
          <w:rFonts w:hint="default" w:ascii="Times New Roman" w:hAnsi="Times New Roman" w:cs="Times New Roman"/>
          <w:b/>
          <w:sz w:val="32"/>
          <w:szCs w:val="18"/>
          <w:lang w:val="en-US" w:eastAsia="zh-CN"/>
        </w:rPr>
        <w:t>六、社会责任</w:t>
      </w:r>
      <w:bookmarkEnd w:id="8"/>
    </w:p>
    <w:p>
      <w:pPr>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（一）关爱员工</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坚持以人为本的核心价值观，关心员工的工作、生活、健康、安全，切实保护员工的各项权益，提升企业的凝聚力，实现员工与企业的共同成长。积极构建和谐劳动关系，完善员工福利，重视员工培训，不断提供优质培训资源。公司将员工个人发展与企业发展紧密相联，积极鼓励员工及管理层不断学习，将企业进步与个人价值的提升高度融合，为员工的成长和自身价值提升提供良好的平台。</w:t>
      </w:r>
    </w:p>
    <w:p>
      <w:pPr>
        <w:spacing w:line="360" w:lineRule="auto"/>
        <w:ind w:firstLine="562" w:firstLineChars="200"/>
        <w:rPr>
          <w:rFonts w:hint="default" w:ascii="Times New Roman" w:hAnsi="Times New Roman" w:cs="Times New Roman"/>
          <w:b/>
          <w:bCs/>
          <w:i w:val="0"/>
          <w:iCs w:val="0"/>
          <w:sz w:val="28"/>
          <w:szCs w:val="28"/>
          <w:lang w:val="en-US" w:eastAsia="zh-CN"/>
        </w:rPr>
      </w:pPr>
      <w:r>
        <w:rPr>
          <w:rFonts w:hint="default" w:ascii="Times New Roman" w:hAnsi="Times New Roman" w:cs="Times New Roman"/>
          <w:b/>
          <w:bCs/>
          <w:i w:val="0"/>
          <w:iCs w:val="0"/>
          <w:sz w:val="28"/>
          <w:szCs w:val="28"/>
          <w:lang w:val="en-US" w:eastAsia="zh-CN"/>
        </w:rPr>
        <w:t>1、员工权益制度保障</w:t>
      </w:r>
    </w:p>
    <w:p>
      <w:pPr>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员工是公司最宝贵的资源和财富，公司尊重和保护员工的各项合法权益，珍惜员工的生命、健康与安全;尊重劳动、尊重知识、尊重价值创造。公司严格遵守《中华人民共和国劳动法》、《中华人民共和国劳动合同法》、《中华人民共和国劳动合同法实施条例》、《中华人民共和国社会保险法》等相关法律法规，依法维护员工的合法权益。公司不断完善用工与福利保障的相关管理制度;公司实行全员劳动合同制，与员工100%签订劳动合同，建立了规范的新型劳动关系，明确了职工享有的权益和应履行的义务；严格执行国家有关社会保险的规定，</w:t>
      </w:r>
      <w:r>
        <w:rPr>
          <w:rFonts w:hint="eastAsia" w:ascii="Times New Roman" w:hAnsi="Times New Roman" w:cs="Times New Roman"/>
          <w:sz w:val="28"/>
          <w:szCs w:val="28"/>
          <w:lang w:val="en-US" w:eastAsia="zh-CN"/>
        </w:rPr>
        <w:t>为员工缴纳</w:t>
      </w:r>
      <w:r>
        <w:rPr>
          <w:rFonts w:hint="default" w:ascii="Times New Roman" w:hAnsi="Times New Roman" w:cs="Times New Roman"/>
          <w:color w:val="000000" w:themeColor="text1"/>
          <w:sz w:val="28"/>
          <w:szCs w:val="28"/>
          <w:lang w:val="en-US" w:eastAsia="zh-CN"/>
          <w14:textFill>
            <w14:solidFill>
              <w14:schemeClr w14:val="tx1"/>
            </w14:solidFill>
          </w14:textFill>
        </w:rPr>
        <w:t>养老保险、医疗保险、失业保险、工伤保险、生育保险等社会保险，</w:t>
      </w:r>
      <w:r>
        <w:rPr>
          <w:rFonts w:hint="default" w:ascii="Times New Roman" w:hAnsi="Times New Roman" w:cs="Times New Roman"/>
          <w:sz w:val="28"/>
          <w:szCs w:val="28"/>
          <w:lang w:val="en-US" w:eastAsia="zh-CN"/>
        </w:rPr>
        <w:t>每月按时足额缴纳各项保险费用。按照劳动部门有关规定及时办理新聘、离职人员的劳动合同、社会保险等相关手续，确保员工享受社会保险待遇，使员工在养老、患病、工伤、失业、生育等情况下能及时获得帮助和补偿，并实行带薪休年假等福利，使员工在公平、公正的环境内安心工作、寻求发展。</w:t>
      </w:r>
    </w:p>
    <w:p>
      <w:pPr>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color w:val="000000" w:themeColor="text1"/>
          <w:sz w:val="28"/>
          <w:szCs w:val="28"/>
          <w:lang w:val="en-US" w:eastAsia="zh-CN"/>
          <w14:textFill>
            <w14:solidFill>
              <w14:schemeClr w14:val="tx1"/>
            </w14:solidFill>
          </w14:textFill>
        </w:rPr>
        <w:t>公司实行民主管理，成立职工代表大会</w:t>
      </w:r>
      <w:r>
        <w:rPr>
          <w:rFonts w:hint="eastAsia" w:ascii="Times New Roman" w:hAnsi="Times New Roman" w:cs="Times New Roman"/>
          <w:color w:val="000000" w:themeColor="text1"/>
          <w:sz w:val="28"/>
          <w:szCs w:val="28"/>
          <w:lang w:val="en-US" w:eastAsia="zh-CN"/>
          <w14:textFill>
            <w14:solidFill>
              <w14:schemeClr w14:val="tx1"/>
            </w14:solidFill>
          </w14:textFill>
        </w:rPr>
        <w:t>制度</w:t>
      </w:r>
      <w:r>
        <w:rPr>
          <w:rFonts w:hint="default" w:ascii="Times New Roman" w:hAnsi="Times New Roman" w:cs="Times New Roman"/>
          <w:sz w:val="28"/>
          <w:szCs w:val="28"/>
          <w:lang w:val="en-US" w:eastAsia="zh-CN"/>
        </w:rPr>
        <w:t>，切实保护了职工的合法权益。公司严格杜绝歧视用工政策，公平、公正对待不同国籍、种族、性别、年龄、宗教信仰和文化背景的员工;实行同工同酬，杜绝雇佣童工。</w:t>
      </w:r>
      <w:r>
        <w:rPr>
          <w:rFonts w:hint="default" w:ascii="Times New Roman" w:hAnsi="Times New Roman" w:cs="Times New Roman"/>
          <w:color w:val="000000" w:themeColor="text1"/>
          <w:sz w:val="28"/>
          <w:szCs w:val="28"/>
          <w:lang w:val="en-US" w:eastAsia="zh-CN"/>
          <w14:textFill>
            <w14:solidFill>
              <w14:schemeClr w14:val="tx1"/>
            </w14:solidFill>
          </w14:textFill>
        </w:rPr>
        <w:t>202</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年</w:t>
      </w:r>
      <w:r>
        <w:rPr>
          <w:rFonts w:hint="default" w:ascii="Times New Roman" w:hAnsi="Times New Roman" w:cs="Times New Roman"/>
          <w:sz w:val="28"/>
          <w:szCs w:val="28"/>
          <w:lang w:val="en-US" w:eastAsia="zh-CN"/>
        </w:rPr>
        <w:t>，公司未发现童工雇佣和强制劳动等违规情况，未收到人权问题申诉。</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重视员工职业健康，组织员工每年定期健康体检，项目包括血压、内外科、口腔科、血常规等。公司注重员工的安全生产和劳动保护，在高温季节为员工发放高温津贴，针对不同岗位每年定期为员工配备必要的劳动保护用品及保护措施，并展开各类形式的宣传教育、模拟训练等活动，有效提高了员工的安全防护意识和自我保护能力。同时公司关注员工的身体和心理健康，通过必要的心理健康咨询服务，为员工心理压力管理起到正面疏导作用。</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对于员工的信息和隐私进行严格的管理和做好保密工作。公司实行密薪制度，向外提供员工简历等个人信息有严格的流程控制，如员工的个人信息查阅必须按照规定程序办理，对于违反规定泄露员工个人信息和隐私的，公司按规定进行处理，造成严重后果的，追究泄露者的法律责任，员工个人隐私得到最大化保护，形成了员工与公司的利益共享机制。</w:t>
      </w:r>
    </w:p>
    <w:p>
      <w:pPr>
        <w:spacing w:line="360" w:lineRule="auto"/>
        <w:ind w:firstLine="562" w:firstLineChars="200"/>
        <w:rPr>
          <w:rFonts w:hint="default" w:ascii="Times New Roman" w:hAnsi="Times New Roman" w:cs="Times New Roman"/>
          <w:b/>
          <w:bCs/>
          <w:sz w:val="28"/>
          <w:szCs w:val="28"/>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rPr>
        <w:t>员工权绩效考核与激励</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积极推行科学有效的薪酬体系，结合市场情况，根据公司的行业特点和经营效益，细化绩效考核标准，充分保障了企业员工的切身利益。公司建立了较为全面的绩效考核评价办法，高级管理人员的聘任公开、透明且符合有关法律、法规和公司内部规章制度的规定。公司董事和高级管理人员的绩效评价采取自我评价和薪酬委员会按绩效评价标准进行评价两部分相结合的绩效评价方式，同时根据《公司章程》中对高级管理人员履职行为、权限和职责的明确规定进行综合考评。</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公司高级管理人员年度薪酬实行年薪制和风险奖励基金，薪酬考核与分配以公司经济效益为出发点，</w:t>
      </w:r>
      <w:r>
        <w:rPr>
          <w:rFonts w:hint="default" w:ascii="Times New Roman" w:hAnsi="Times New Roman" w:cs="Times New Roman"/>
          <w:color w:val="000000" w:themeColor="text1"/>
          <w:sz w:val="28"/>
          <w:szCs w:val="28"/>
          <w14:textFill>
            <w14:solidFill>
              <w14:schemeClr w14:val="tx1"/>
            </w14:solidFill>
          </w14:textFill>
        </w:rPr>
        <w:t>由董事会薪酬与考核委员会</w:t>
      </w:r>
      <w:r>
        <w:rPr>
          <w:rFonts w:hint="default" w:ascii="Times New Roman" w:hAnsi="Times New Roman" w:cs="Times New Roman"/>
          <w:sz w:val="28"/>
          <w:szCs w:val="28"/>
        </w:rPr>
        <w:t>对高级管理人员进行综合考评后提交公司董事会审议通过。年薪制和风险奖励基金:高级管理人员年薪依据企业及个人绩效考评结果兑现，年薪随考核指标上下浮动</w:t>
      </w:r>
      <w:r>
        <w:rPr>
          <w:rFonts w:hint="default" w:ascii="Times New Roman" w:hAnsi="Times New Roman" w:cs="Times New Roman"/>
          <w:sz w:val="28"/>
          <w:szCs w:val="28"/>
          <w:lang w:eastAsia="zh-CN"/>
        </w:rPr>
        <w:t>。</w:t>
      </w:r>
      <w:r>
        <w:rPr>
          <w:rFonts w:hint="default" w:ascii="Times New Roman" w:hAnsi="Times New Roman" w:cs="Times New Roman"/>
          <w:sz w:val="28"/>
          <w:szCs w:val="28"/>
        </w:rPr>
        <w:t>风险奖励基金的计提按照《关于风险奖励基金的计提规定》提取，并根据</w:t>
      </w:r>
      <w:r>
        <w:rPr>
          <w:rFonts w:hint="default" w:ascii="Times New Roman" w:hAnsi="Times New Roman" w:cs="Times New Roman"/>
          <w:color w:val="000000" w:themeColor="text1"/>
          <w:sz w:val="28"/>
          <w:szCs w:val="28"/>
          <w14:textFill>
            <w14:solidFill>
              <w14:schemeClr w14:val="tx1"/>
            </w14:solidFill>
          </w14:textFill>
        </w:rPr>
        <w:t>《风险奖励基金分配制度》</w:t>
      </w:r>
      <w:r>
        <w:rPr>
          <w:rFonts w:hint="default" w:ascii="Times New Roman" w:hAnsi="Times New Roman" w:cs="Times New Roman"/>
          <w:sz w:val="28"/>
          <w:szCs w:val="28"/>
        </w:rPr>
        <w:t>进行分配。</w:t>
      </w:r>
    </w:p>
    <w:p>
      <w:pPr>
        <w:spacing w:line="360" w:lineRule="auto"/>
        <w:ind w:firstLine="562" w:firstLineChars="200"/>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rPr>
        <w:t>丰富员工生活</w:t>
      </w:r>
    </w:p>
    <w:p>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司注重平衡员工生活和工作，力求营造和谐、健康的工作氛围，组织开展业余文化活动，以员工个人兴趣爱好为切入点培养团队精神，同时帮助员工消除工作疲劳，从而更好地在工作中发挥自我价值。公司定期举行员工生日会、团建活动等，让员工感受到公司的关爱，更以此增强员工对公司的认同感、归属 感和忠诚度，提升公司内部的凝聚力和向心力，提高工作效率和效益。</w:t>
      </w:r>
    </w:p>
    <w:p>
      <w:pPr>
        <w:spacing w:line="360" w:lineRule="auto"/>
        <w:ind w:firstLine="562" w:firstLineChars="200"/>
        <w:rPr>
          <w:rFonts w:hint="default" w:ascii="Times New Roman" w:hAnsi="Times New Roman" w:cs="Times New Roman"/>
          <w:b/>
          <w:bCs/>
          <w:sz w:val="28"/>
          <w:szCs w:val="28"/>
        </w:rPr>
      </w:pPr>
      <w:r>
        <w:rPr>
          <w:rFonts w:hint="default" w:ascii="Times New Roman" w:hAnsi="Times New Roman" w:eastAsia="宋体" w:cs="Times New Roman"/>
          <w:b/>
          <w:bCs/>
          <w:sz w:val="28"/>
          <w:szCs w:val="28"/>
          <w:lang w:val="en-US" w:eastAsia="zh-CN"/>
        </w:rPr>
        <w:t>4、</w:t>
      </w:r>
      <w:r>
        <w:rPr>
          <w:rFonts w:hint="default" w:ascii="Times New Roman" w:hAnsi="Times New Roman" w:eastAsia="宋体" w:cs="Times New Roman"/>
          <w:b/>
          <w:bCs/>
          <w:sz w:val="28"/>
          <w:szCs w:val="28"/>
        </w:rPr>
        <w:t>构建员工培训体系及发展通道</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eastAsia="宋体" w:cs="Times New Roman"/>
          <w:sz w:val="28"/>
          <w:szCs w:val="28"/>
        </w:rPr>
        <w:t>为提高员工岗位技能、管理水平及综合素质，公司及所属单位人事主管部门每年年末制定次年的年度培训计划，培训计划经单位负责人审批后对不同岗位、职务人员进行培训，并按照公司《职工培训管理制度》有关规定执行。公司高度关注员工的学习成长与发展，始终致力于系统化打造员工的学习平台，在员工培训领域投入了大量的资源和精力。公司培训体系以业务体系知识拓展为主，在受众上覆盖各个新员工、大学生、资深员工、管理干部等各个层级，在内容上涉及企业文化、专业技能、职场素养、领导能力等各个领域，为员工提供了坚实的学习基础与丰富多样的培训项目，帮助员工持续提升和发展。</w:t>
      </w:r>
    </w:p>
    <w:p>
      <w:pPr>
        <w:spacing w:line="360" w:lineRule="auto"/>
        <w:ind w:firstLine="562" w:firstLineChars="20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（二）社会公益</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饮水当思源，企业的发展离不开社会的支持。</w:t>
      </w:r>
      <w:r>
        <w:rPr>
          <w:rFonts w:hint="default" w:ascii="Times New Roman" w:hAnsi="Times New Roman" w:cs="Times New Roman"/>
          <w:sz w:val="28"/>
          <w:szCs w:val="28"/>
          <w:lang w:val="en-US" w:eastAsia="zh-CN"/>
        </w:rPr>
        <w:t>我们</w:t>
      </w:r>
      <w:r>
        <w:rPr>
          <w:rFonts w:hint="default" w:ascii="Times New Roman" w:hAnsi="Times New Roman" w:cs="Times New Roman"/>
          <w:sz w:val="28"/>
          <w:szCs w:val="28"/>
        </w:rPr>
        <w:t>充分回应社会需求，持续以创新模式开展多元化公益活动，携各业务板块结合自身优势，因地制宜，通过慈善捐赠、公益活动组织等多种形式参与社会公益事业，积极回报社会。</w:t>
      </w:r>
    </w:p>
    <w:p>
      <w:pPr>
        <w:spacing w:line="360" w:lineRule="auto"/>
        <w:ind w:firstLine="562" w:firstLineChars="200"/>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w:t>
      </w:r>
      <w:r>
        <w:rPr>
          <w:rFonts w:hint="default" w:ascii="Times New Roman" w:hAnsi="Times New Roman" w:cs="Times New Roman"/>
          <w:b/>
          <w:bCs/>
          <w:sz w:val="28"/>
          <w:szCs w:val="28"/>
        </w:rPr>
        <w:t>关心困难职工生活，积极开展送温暖活动</w:t>
      </w:r>
    </w:p>
    <w:p>
      <w:pPr>
        <w:spacing w:line="360" w:lineRule="auto"/>
        <w:ind w:firstLine="560" w:firstLineChars="200"/>
        <w:rPr>
          <w:rFonts w:hint="eastAsia" w:ascii="Times New Roman" w:hAnsi="Times New Roman" w:cs="Times New Roman" w:eastAsiaTheme="minorEastAsia"/>
          <w:sz w:val="28"/>
          <w:szCs w:val="28"/>
          <w:lang w:eastAsia="zh-CN"/>
        </w:rPr>
      </w:pPr>
      <w:r>
        <w:rPr>
          <w:rFonts w:hint="default" w:ascii="Times New Roman" w:hAnsi="Times New Roman" w:cs="Times New Roman"/>
          <w:sz w:val="28"/>
          <w:szCs w:val="28"/>
        </w:rPr>
        <w:t>公司坚持以人为本，采取多种形式跟踪、了解广大员工，特别是困难员工的生活、工作状况，从人力、物力、财力等多方面进行帮扶，缓解困难职工的生活、工作状况，让受惠员工体会到家的温暖，并逐步形成具有公司特色的社会公益文化。</w:t>
      </w:r>
    </w:p>
    <w:p>
      <w:pPr>
        <w:spacing w:line="360" w:lineRule="auto"/>
        <w:ind w:firstLine="562" w:firstLineChars="200"/>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rPr>
        <w:t>响应红十字会组织的号召</w:t>
      </w:r>
      <w:r>
        <w:rPr>
          <w:rFonts w:hint="default" w:ascii="Times New Roman" w:hAnsi="Times New Roman" w:eastAsia="宋体" w:cs="Times New Roman"/>
          <w:b/>
          <w:bCs/>
          <w:sz w:val="28"/>
          <w:szCs w:val="28"/>
          <w:lang w:eastAsia="zh-CN"/>
        </w:rPr>
        <w:t>，积极</w:t>
      </w:r>
      <w:r>
        <w:rPr>
          <w:rFonts w:hint="default" w:ascii="Times New Roman" w:hAnsi="Times New Roman" w:eastAsia="宋体" w:cs="Times New Roman"/>
          <w:b/>
          <w:bCs/>
          <w:sz w:val="28"/>
          <w:szCs w:val="28"/>
          <w:lang w:val="en-US" w:eastAsia="zh-CN"/>
        </w:rPr>
        <w:t>开展公益献血</w:t>
      </w:r>
    </w:p>
    <w:p>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公司积极组织公益活动，践行公益精神，</w:t>
      </w:r>
      <w:r>
        <w:rPr>
          <w:rFonts w:hint="eastAsia" w:ascii="Times New Roman" w:hAnsi="Times New Roman" w:cs="Times New Roman"/>
          <w:color w:val="000000" w:themeColor="text1"/>
          <w:sz w:val="28"/>
          <w:szCs w:val="28"/>
          <w:lang w:val="en-US" w:eastAsia="zh-CN"/>
          <w14:textFill>
            <w14:solidFill>
              <w14:schemeClr w14:val="tx1"/>
            </w14:solidFill>
          </w14:textFill>
        </w:rPr>
        <w:t>每年</w:t>
      </w:r>
      <w:r>
        <w:rPr>
          <w:rFonts w:hint="default" w:ascii="Times New Roman" w:hAnsi="Times New Roman" w:eastAsia="宋体" w:cs="Times New Roman"/>
          <w:sz w:val="28"/>
          <w:szCs w:val="28"/>
        </w:rPr>
        <w:t>公司响应红十字会组织的号召，动员干部员工</w:t>
      </w:r>
      <w:r>
        <w:rPr>
          <w:rFonts w:hint="eastAsia" w:ascii="Times New Roman" w:hAnsi="Times New Roman" w:eastAsia="宋体" w:cs="Times New Roman"/>
          <w:sz w:val="28"/>
          <w:szCs w:val="28"/>
          <w:lang w:val="en-US" w:eastAsia="zh-CN"/>
        </w:rPr>
        <w:t>参加爱心义捐等活动。</w:t>
      </w:r>
    </w:p>
    <w:p>
      <w:pPr>
        <w:spacing w:line="360" w:lineRule="auto"/>
        <w:ind w:firstLine="562" w:firstLineChars="200"/>
        <w:rPr>
          <w:rFonts w:hint="default" w:ascii="Times New Roman" w:hAnsi="Times New Roman" w:cs="Times New Roman"/>
          <w:b/>
          <w:bCs/>
          <w:sz w:val="28"/>
          <w:szCs w:val="28"/>
        </w:rPr>
      </w:pPr>
      <w:r>
        <w:rPr>
          <w:rFonts w:hint="eastAsia"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rPr>
        <w:t>响应国家战略</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sz w:val="28"/>
          <w:szCs w:val="28"/>
        </w:rPr>
        <w:t>发力精准扶贫</w:t>
      </w:r>
    </w:p>
    <w:p>
      <w:pPr>
        <w:spacing w:line="360" w:lineRule="auto"/>
        <w:ind w:firstLine="560" w:firstLineChars="200"/>
        <w:rPr>
          <w:rFonts w:hint="default" w:ascii="Times New Roman" w:hAnsi="Times New Roman" w:cs="Times New Roman"/>
          <w:color w:val="FF0000"/>
          <w:sz w:val="24"/>
          <w:szCs w:val="24"/>
        </w:rPr>
      </w:pPr>
      <w:r>
        <w:rPr>
          <w:rFonts w:hint="default" w:ascii="Times New Roman" w:hAnsi="Times New Roman" w:eastAsia="宋体" w:cs="Times New Roman"/>
          <w:sz w:val="28"/>
          <w:szCs w:val="28"/>
        </w:rPr>
        <w:t>公司全面贯彻落实党和国家的大政方针，深入贯彻习总书记系列重要讲话精神，结合公司实际情况，采取灵活多样的形式参与扶贫，切实开展有效的帮扶工作，实现扶持对象精准、项目安排精准、资金使用精准。习近平总书记指出：摆脱贫困首要并不是摆脱物质的贫困，而是摆脱意识和思路的贫困。扶贫必扶智，治贫先治愚。脱贫致富不仅要注意“富口袋”，更要注意“富脑袋”。</w:t>
      </w:r>
    </w:p>
    <w:p>
      <w:pPr>
        <w:spacing w:line="360" w:lineRule="auto"/>
        <w:ind w:firstLine="562" w:firstLineChars="200"/>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（三）</w:t>
      </w:r>
      <w:r>
        <w:rPr>
          <w:rFonts w:hint="default" w:ascii="Times New Roman" w:hAnsi="Times New Roman" w:cs="Times New Roman"/>
          <w:b/>
          <w:bCs/>
          <w:sz w:val="28"/>
          <w:szCs w:val="28"/>
        </w:rPr>
        <w:t>多方位提供就业岗位，积极履行社会责任</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保障就业是企业重要社会责任之一，近年来，公司生产经营稳中有升，为大学毕业生、社会剩余劳动力及残障人士提供了充足的就业岗位和稳定的工作环境，缓解了社会就业压力，为社会稳定、繁荣、和谐贡献微薄之力，同时公司的稳步发展也带动了周边相关配套企业和区域经济的发展。</w:t>
      </w:r>
    </w:p>
    <w:p>
      <w:pPr>
        <w:spacing w:line="360" w:lineRule="auto"/>
        <w:ind w:firstLine="562" w:firstLineChars="200"/>
        <w:outlineLvl w:val="0"/>
        <w:rPr>
          <w:rFonts w:hint="default" w:ascii="Times New Roman" w:hAnsi="Times New Roman" w:cs="Times New Roman"/>
          <w:b/>
          <w:sz w:val="28"/>
          <w:szCs w:val="28"/>
        </w:rPr>
      </w:pPr>
      <w:bookmarkStart w:id="9" w:name="_Toc283"/>
      <w:r>
        <w:rPr>
          <w:rFonts w:hint="default" w:ascii="Times New Roman" w:hAnsi="Times New Roman" w:cs="Times New Roman"/>
          <w:b/>
          <w:sz w:val="28"/>
          <w:szCs w:val="28"/>
          <w:lang w:eastAsia="zh-CN"/>
        </w:rPr>
        <w:t>七</w:t>
      </w:r>
      <w:r>
        <w:rPr>
          <w:rFonts w:hint="default" w:ascii="Times New Roman" w:hAnsi="Times New Roman" w:cs="Times New Roman"/>
          <w:b/>
          <w:sz w:val="28"/>
          <w:szCs w:val="28"/>
        </w:rPr>
        <w:t>、展望未来</w:t>
      </w:r>
      <w:bookmarkEnd w:id="9"/>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公司已将承担企业社会责任融入到公司的经营发展之中，追求公司与客户、员工、股东和社会的共同进步和发展。公司将以全新的理念，不断突破自我，开拓创新，在质量上对标国际先进标准，在战略上积极进行国际化布局，为客户提供更好的产品。</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在股东方面，公司将不断优化产品配置，提升管理理念和经营水平，为股东创造更大投资价值。</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在合作伙伴方面，公司将增加沟通频率，增强服务意识，提高生产效率，优化管理结构，与合作伙伴实现共赢发展。</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在员工方面，公司始终坚持保障员工权益最大化，为员工提供一体化的人才培养机制及广阔的成长空间。</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w:t>
      </w:r>
      <w:r>
        <w:rPr>
          <w:rFonts w:hint="default" w:ascii="Times New Roman" w:hAnsi="Times New Roman" w:cs="Times New Roman"/>
          <w:sz w:val="28"/>
          <w:szCs w:val="28"/>
          <w:lang w:eastAsia="zh-CN"/>
        </w:rPr>
        <w:t>社会</w:t>
      </w:r>
      <w:r>
        <w:rPr>
          <w:rFonts w:hint="default" w:ascii="Times New Roman" w:hAnsi="Times New Roman" w:cs="Times New Roman"/>
          <w:sz w:val="28"/>
          <w:szCs w:val="28"/>
        </w:rPr>
        <w:t>方面，公司将继续用实际行动践行公益的力量，反哺社会，积极承担企业的社会责任。</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在环保方面，继续践行低碳发展的企业理念，探索保护环境新路径，努力推进环境与经济协调融合，通过各项节能减排举措，为祖国的蓝天白天贡献自己的一份力量。</w:t>
      </w:r>
    </w:p>
    <w:p>
      <w:pPr>
        <w:spacing w:line="360" w:lineRule="auto"/>
        <w:ind w:firstLine="560" w:firstLineChars="200"/>
        <w:rPr>
          <w:rFonts w:hint="default" w:ascii="Times New Roman" w:hAnsi="Times New Roman" w:cs="Times New Roman"/>
          <w:sz w:val="28"/>
          <w:szCs w:val="28"/>
        </w:rPr>
      </w:pPr>
      <w:bookmarkStart w:id="10" w:name="_GoBack"/>
      <w:r>
        <w:rPr>
          <w:rFonts w:hint="default" w:ascii="Times New Roman" w:hAnsi="Times New Roman" w:cs="Times New Roman"/>
          <w:color w:val="000000" w:themeColor="text1"/>
          <w:sz w:val="28"/>
          <w:szCs w:val="28"/>
          <w14:textFill>
            <w14:solidFill>
              <w14:schemeClr w14:val="tx1"/>
            </w14:solidFill>
          </w14:textFill>
        </w:rPr>
        <w:t>202</w:t>
      </w:r>
      <w:r>
        <w:rPr>
          <w:rFonts w:hint="default"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14:textFill>
            <w14:solidFill>
              <w14:schemeClr w14:val="tx1"/>
            </w14:solidFill>
          </w14:textFill>
        </w:rPr>
        <w:t>年</w:t>
      </w:r>
      <w:bookmarkEnd w:id="10"/>
      <w:r>
        <w:rPr>
          <w:rFonts w:hint="default" w:ascii="Times New Roman" w:hAnsi="Times New Roman" w:cs="Times New Roman"/>
          <w:sz w:val="28"/>
          <w:szCs w:val="28"/>
        </w:rPr>
        <w:t>，公司将不忘初心，砥砺前行，在持续推动公司持续、稳健向前发展的同时，积极履行企业公民义务，着力维护各相关方利益，更好地与社会共享成果，全面推进企业和社会和谐发展,为国家持续繁荣发展和社会和谐稳定做出积极贡献。</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3NmVkOTY5ZjlmMzdjMTUxYmU2MzI3ZmZiYWVkODIifQ=="/>
  </w:docVars>
  <w:rsids>
    <w:rsidRoot w:val="00A777AA"/>
    <w:rsid w:val="00047415"/>
    <w:rsid w:val="00054B20"/>
    <w:rsid w:val="000C59C3"/>
    <w:rsid w:val="001E5109"/>
    <w:rsid w:val="003C44C6"/>
    <w:rsid w:val="006D2EF5"/>
    <w:rsid w:val="009057A8"/>
    <w:rsid w:val="00A35AB0"/>
    <w:rsid w:val="00A46E32"/>
    <w:rsid w:val="00A777AA"/>
    <w:rsid w:val="00AE633B"/>
    <w:rsid w:val="00CC3EC2"/>
    <w:rsid w:val="00D6780C"/>
    <w:rsid w:val="00D84EFD"/>
    <w:rsid w:val="00DB2F18"/>
    <w:rsid w:val="01C42E1B"/>
    <w:rsid w:val="03E43362"/>
    <w:rsid w:val="057A3685"/>
    <w:rsid w:val="072B1C32"/>
    <w:rsid w:val="08E04023"/>
    <w:rsid w:val="0A8F7AAE"/>
    <w:rsid w:val="0BD77A17"/>
    <w:rsid w:val="0E471792"/>
    <w:rsid w:val="0FA75AA1"/>
    <w:rsid w:val="120F3A28"/>
    <w:rsid w:val="12297DB7"/>
    <w:rsid w:val="1261401B"/>
    <w:rsid w:val="13C14F52"/>
    <w:rsid w:val="16313959"/>
    <w:rsid w:val="16BF59DB"/>
    <w:rsid w:val="18E84A4E"/>
    <w:rsid w:val="1CD328A7"/>
    <w:rsid w:val="20E908C1"/>
    <w:rsid w:val="22257C75"/>
    <w:rsid w:val="26A03110"/>
    <w:rsid w:val="276F5D69"/>
    <w:rsid w:val="280255D6"/>
    <w:rsid w:val="2AB56A7F"/>
    <w:rsid w:val="2BEE68D3"/>
    <w:rsid w:val="2FC51ABF"/>
    <w:rsid w:val="303A53F6"/>
    <w:rsid w:val="326D62E3"/>
    <w:rsid w:val="326E7E26"/>
    <w:rsid w:val="336766B7"/>
    <w:rsid w:val="35DB6673"/>
    <w:rsid w:val="36FA107B"/>
    <w:rsid w:val="38FF7C0E"/>
    <w:rsid w:val="3B463A0C"/>
    <w:rsid w:val="3BE32897"/>
    <w:rsid w:val="3CF2038A"/>
    <w:rsid w:val="42A47894"/>
    <w:rsid w:val="432F174F"/>
    <w:rsid w:val="47B55CF8"/>
    <w:rsid w:val="48C206E4"/>
    <w:rsid w:val="498757C2"/>
    <w:rsid w:val="49E206AE"/>
    <w:rsid w:val="4A2A1B94"/>
    <w:rsid w:val="4B49298E"/>
    <w:rsid w:val="4C001512"/>
    <w:rsid w:val="4F1C040A"/>
    <w:rsid w:val="5253273C"/>
    <w:rsid w:val="53E775E0"/>
    <w:rsid w:val="5AC275E0"/>
    <w:rsid w:val="5DBC3F6D"/>
    <w:rsid w:val="5FE175D9"/>
    <w:rsid w:val="60477D84"/>
    <w:rsid w:val="62A36683"/>
    <w:rsid w:val="660B1854"/>
    <w:rsid w:val="6920290F"/>
    <w:rsid w:val="69281658"/>
    <w:rsid w:val="6B135451"/>
    <w:rsid w:val="6D6F2A8E"/>
    <w:rsid w:val="6F2F48E5"/>
    <w:rsid w:val="730247E2"/>
    <w:rsid w:val="734E5E3C"/>
    <w:rsid w:val="741F26FA"/>
    <w:rsid w:val="76D96E05"/>
    <w:rsid w:val="775B64C9"/>
    <w:rsid w:val="789806D5"/>
    <w:rsid w:val="79411E6E"/>
    <w:rsid w:val="797132F1"/>
    <w:rsid w:val="7CC30EA5"/>
    <w:rsid w:val="7D2235E6"/>
    <w:rsid w:val="7F3E1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34"/>
    <w:pPr>
      <w:ind w:firstLine="420" w:firstLineChars="200"/>
    </w:pPr>
  </w:style>
  <w:style w:type="paragraph" w:styleId="4">
    <w:name w:val="Document Map"/>
    <w:basedOn w:val="1"/>
    <w:link w:val="14"/>
    <w:semiHidden/>
    <w:unhideWhenUsed/>
    <w:qFormat/>
    <w:uiPriority w:val="99"/>
    <w:rPr>
      <w:rFonts w:ascii="宋体" w:eastAsia="宋体"/>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6"/>
    <w:semiHidden/>
    <w:qFormat/>
    <w:uiPriority w:val="99"/>
    <w:rPr>
      <w:sz w:val="18"/>
      <w:szCs w:val="18"/>
    </w:rPr>
  </w:style>
  <w:style w:type="character" w:customStyle="1" w:styleId="13">
    <w:name w:val="页脚 Char"/>
    <w:basedOn w:val="11"/>
    <w:link w:val="5"/>
    <w:qFormat/>
    <w:uiPriority w:val="99"/>
    <w:rPr>
      <w:sz w:val="18"/>
      <w:szCs w:val="18"/>
    </w:rPr>
  </w:style>
  <w:style w:type="character" w:customStyle="1" w:styleId="14">
    <w:name w:val="文档结构图 Char"/>
    <w:basedOn w:val="11"/>
    <w:link w:val="4"/>
    <w:semiHidden/>
    <w:qFormat/>
    <w:uiPriority w:val="99"/>
    <w:rPr>
      <w:rFonts w:ascii="宋体" w:eastAsia="宋体"/>
      <w:sz w:val="18"/>
      <w:szCs w:val="18"/>
    </w:rPr>
  </w:style>
  <w:style w:type="paragraph" w:customStyle="1" w:styleId="15">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10570</Words>
  <Characters>11120</Characters>
  <Lines>29</Lines>
  <Paragraphs>8</Paragraphs>
  <TotalTime>11</TotalTime>
  <ScaleCrop>false</ScaleCrop>
  <LinksUpToDate>false</LinksUpToDate>
  <CharactersWithSpaces>11204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2019-03-15T04:59:00Z</dcterms:created>
  <dc:creator>Windows 用户</dc:creator>
  <cp:lastModifiedBy>阿斐不可爱</cp:lastModifiedBy>
  <dcterms:modified xsi:type="dcterms:W3CDTF">2023-09-07T03:40:54Z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F496AC304CD64010970C5B524AE57D40_13</vt:lpwstr>
  </property>
</Properties>
</file>